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AC01E" w14:textId="3B9B8617" w:rsidR="4755D38A" w:rsidRDefault="4755D38A" w:rsidP="003D31D6">
      <w:pPr>
        <w:pStyle w:val="Heading1"/>
        <w:rPr>
          <w:rFonts w:ascii="Verdana" w:eastAsia="Verdana" w:hAnsi="Verdana" w:cs="Verdana"/>
          <w:sz w:val="32"/>
          <w:szCs w:val="32"/>
        </w:rPr>
      </w:pPr>
      <w:r w:rsidRPr="4F576523">
        <w:rPr>
          <w:rFonts w:ascii="Verdana" w:eastAsia="Verdana" w:hAnsi="Verdana" w:cs="Verdana"/>
          <w:sz w:val="32"/>
          <w:szCs w:val="32"/>
        </w:rPr>
        <w:t>Introduction to the</w:t>
      </w:r>
      <w:r w:rsidR="00C643DE" w:rsidRPr="4F576523">
        <w:rPr>
          <w:rFonts w:ascii="Verdana" w:eastAsia="Verdana" w:hAnsi="Verdana" w:cs="Verdana"/>
          <w:sz w:val="32"/>
          <w:szCs w:val="32"/>
        </w:rPr>
        <w:t xml:space="preserve"> </w:t>
      </w:r>
      <w:r w:rsidRPr="4F576523">
        <w:rPr>
          <w:rFonts w:ascii="Verdana" w:eastAsia="Verdana" w:hAnsi="Verdana" w:cs="Verdana"/>
          <w:sz w:val="32"/>
          <w:szCs w:val="32"/>
        </w:rPr>
        <w:t xml:space="preserve">Community </w:t>
      </w:r>
      <w:r w:rsidR="6577A993" w:rsidRPr="4F576523">
        <w:rPr>
          <w:rFonts w:ascii="Verdana" w:eastAsia="Verdana" w:hAnsi="Verdana" w:cs="Verdana"/>
          <w:sz w:val="32"/>
          <w:szCs w:val="32"/>
        </w:rPr>
        <w:t xml:space="preserve">Residential Services </w:t>
      </w:r>
      <w:r w:rsidRPr="4F576523">
        <w:rPr>
          <w:rFonts w:ascii="Verdana" w:eastAsia="Verdana" w:hAnsi="Verdana" w:cs="Verdana"/>
          <w:sz w:val="32"/>
          <w:szCs w:val="32"/>
        </w:rPr>
        <w:t>Pricing Model</w:t>
      </w:r>
    </w:p>
    <w:p w14:paraId="5611E87F" w14:textId="31290E93" w:rsidR="008E3DDD" w:rsidRPr="008E3DDD" w:rsidRDefault="008E3DDD" w:rsidP="003D31D6">
      <w:pPr>
        <w:pStyle w:val="Heading2"/>
        <w:rPr>
          <w:rFonts w:eastAsia="Verdana" w:cs="Verdana"/>
        </w:rPr>
      </w:pPr>
      <w:r w:rsidRPr="63069106">
        <w:rPr>
          <w:rFonts w:eastAsia="Verdana" w:cs="Verdana"/>
        </w:rPr>
        <w:t>6 June 2025</w:t>
      </w:r>
      <w:r w:rsidR="00D07C48" w:rsidRPr="63069106">
        <w:rPr>
          <w:rFonts w:eastAsia="Verdana" w:cs="Verdana"/>
        </w:rPr>
        <w:t xml:space="preserve"> Information Session </w:t>
      </w:r>
    </w:p>
    <w:p w14:paraId="48854EE3" w14:textId="2E09F1BA" w:rsidR="008E3DDD" w:rsidRPr="008E3DDD" w:rsidRDefault="00D07C48" w:rsidP="003D31D6">
      <w:pPr>
        <w:pStyle w:val="Heading2"/>
        <w:rPr>
          <w:rFonts w:eastAsia="Verdana" w:cs="Verdana"/>
        </w:rPr>
      </w:pPr>
      <w:r w:rsidRPr="37C34ED9">
        <w:rPr>
          <w:rFonts w:eastAsia="Verdana" w:cs="Verdana"/>
        </w:rPr>
        <w:t>Q&amp;A</w:t>
      </w:r>
    </w:p>
    <w:p w14:paraId="125B603E" w14:textId="78EB43A1" w:rsidR="07A096C1" w:rsidRDefault="07A096C1" w:rsidP="003D31D6">
      <w:pPr>
        <w:rPr>
          <w:rFonts w:eastAsia="Verdana" w:cs="Verdana"/>
          <w:szCs w:val="20"/>
        </w:rPr>
      </w:pPr>
      <w:r w:rsidRPr="37C34ED9">
        <w:rPr>
          <w:rFonts w:eastAsia="Verdana" w:cs="Verdana"/>
          <w:color w:val="000000" w:themeColor="text1"/>
          <w:sz w:val="24"/>
          <w:szCs w:val="24"/>
        </w:rPr>
        <w:t>7 July 2025</w:t>
      </w:r>
    </w:p>
    <w:p w14:paraId="2E4009B0" w14:textId="7B0B4C7F" w:rsidR="4755D38A" w:rsidRDefault="4755D38A" w:rsidP="5AC8AD5F">
      <w:r w:rsidRPr="7908F274">
        <w:rPr>
          <w:rFonts w:eastAsia="Verdana" w:cs="Verdana"/>
          <w:b/>
          <w:bCs/>
          <w:sz w:val="24"/>
          <w:szCs w:val="24"/>
        </w:rPr>
        <w:t xml:space="preserve"> </w:t>
      </w:r>
      <w:r w:rsidRPr="7908F274">
        <w:rPr>
          <w:rFonts w:eastAsia="Verdana" w:cs="Verdana"/>
          <w:sz w:val="24"/>
          <w:szCs w:val="24"/>
        </w:rPr>
        <w:t xml:space="preserve"> </w:t>
      </w:r>
    </w:p>
    <w:p w14:paraId="26F8AF8F" w14:textId="6C5027C4" w:rsidR="4755D38A" w:rsidRDefault="4755D38A" w:rsidP="5AC8AD5F">
      <w:pPr>
        <w:pStyle w:val="Heading2"/>
      </w:pPr>
      <w:r w:rsidRPr="5AC8AD5F">
        <w:rPr>
          <w:rFonts w:eastAsia="Verdana" w:cs="Verdana"/>
          <w:bCs/>
        </w:rPr>
        <w:t>The banded approach</w:t>
      </w:r>
    </w:p>
    <w:p w14:paraId="6CCA4806" w14:textId="0C376561" w:rsidR="4755D38A" w:rsidRDefault="4755D38A" w:rsidP="00C643DE">
      <w:pPr>
        <w:pStyle w:val="Heading3"/>
      </w:pPr>
      <w:r w:rsidRPr="7908F274">
        <w:t>What are the banded rates</w:t>
      </w:r>
      <w:r w:rsidR="00C643DE">
        <w:t>?</w:t>
      </w:r>
    </w:p>
    <w:p w14:paraId="7AE0E3A4" w14:textId="70FD41BE" w:rsidR="4755D38A" w:rsidRDefault="4755D38A" w:rsidP="5AC8AD5F">
      <w:pPr>
        <w:spacing w:after="0"/>
      </w:pPr>
      <w:r w:rsidRPr="7908F274">
        <w:rPr>
          <w:rFonts w:eastAsia="Verdana" w:cs="Verdana"/>
          <w:sz w:val="24"/>
          <w:szCs w:val="24"/>
        </w:rPr>
        <w:t xml:space="preserve">Disabled people living in community residential care will be assigned one of six </w:t>
      </w:r>
      <w:r w:rsidRPr="7908F274">
        <w:rPr>
          <w:rFonts w:eastAsia="Verdana" w:cs="Verdana"/>
          <w:color w:val="000000" w:themeColor="text1"/>
          <w:sz w:val="24"/>
          <w:szCs w:val="24"/>
        </w:rPr>
        <w:t>banded</w:t>
      </w:r>
      <w:r w:rsidRPr="7908F274">
        <w:rPr>
          <w:rFonts w:eastAsia="Verdana" w:cs="Verdana"/>
          <w:sz w:val="24"/>
          <w:szCs w:val="24"/>
        </w:rPr>
        <w:t xml:space="preserve"> rates across four regions (for a total of 24</w:t>
      </w:r>
      <w:r w:rsidR="00641629">
        <w:rPr>
          <w:rFonts w:eastAsia="Verdana" w:cs="Verdana"/>
          <w:sz w:val="24"/>
          <w:szCs w:val="24"/>
        </w:rPr>
        <w:t xml:space="preserve"> </w:t>
      </w:r>
      <w:r w:rsidRPr="7908F274">
        <w:rPr>
          <w:rFonts w:eastAsia="Verdana" w:cs="Verdana"/>
          <w:sz w:val="24"/>
          <w:szCs w:val="24"/>
        </w:rPr>
        <w:t xml:space="preserve">bands) that will fund support services. </w:t>
      </w:r>
    </w:p>
    <w:p w14:paraId="1CBD51D2" w14:textId="59D127C6" w:rsidR="4755D38A" w:rsidRDefault="4755D38A" w:rsidP="5AC8AD5F">
      <w:pPr>
        <w:spacing w:after="0"/>
      </w:pPr>
      <w:r w:rsidRPr="5AC8AD5F">
        <w:rPr>
          <w:rFonts w:eastAsia="Verdana" w:cs="Verdana"/>
          <w:sz w:val="24"/>
          <w:szCs w:val="24"/>
        </w:rPr>
        <w:t xml:space="preserve"> </w:t>
      </w:r>
    </w:p>
    <w:p w14:paraId="3D060B83" w14:textId="6BF94BEF" w:rsidR="4755D38A" w:rsidRDefault="4755D38A" w:rsidP="153E4ADD">
      <w:pPr>
        <w:spacing w:after="0"/>
        <w:rPr>
          <w:rFonts w:eastAsia="Verdana" w:cs="Verdana"/>
          <w:sz w:val="24"/>
          <w:szCs w:val="24"/>
        </w:rPr>
      </w:pPr>
      <w:r w:rsidRPr="153E4ADD">
        <w:rPr>
          <w:rFonts w:eastAsia="Verdana" w:cs="Verdana"/>
          <w:sz w:val="24"/>
          <w:szCs w:val="24"/>
        </w:rPr>
        <w:t xml:space="preserve">The </w:t>
      </w:r>
      <w:r w:rsidRPr="153E4ADD">
        <w:rPr>
          <w:rFonts w:eastAsia="Verdana" w:cs="Verdana"/>
          <w:color w:val="000000" w:themeColor="text1"/>
          <w:sz w:val="24"/>
          <w:szCs w:val="24"/>
        </w:rPr>
        <w:t>banded</w:t>
      </w:r>
      <w:r w:rsidRPr="153E4ADD">
        <w:rPr>
          <w:rFonts w:eastAsia="Verdana" w:cs="Verdana"/>
          <w:sz w:val="24"/>
          <w:szCs w:val="24"/>
        </w:rPr>
        <w:t xml:space="preserve"> rates reflect an average price for a range of care and support needs which provides greater pricing stability.  DSS will now </w:t>
      </w:r>
      <w:r w:rsidR="21CA2F99" w:rsidRPr="153E4ADD">
        <w:rPr>
          <w:rFonts w:eastAsia="Verdana" w:cs="Verdana"/>
          <w:sz w:val="24"/>
          <w:szCs w:val="24"/>
        </w:rPr>
        <w:t>fund</w:t>
      </w:r>
      <w:r w:rsidRPr="153E4ADD">
        <w:rPr>
          <w:rFonts w:eastAsia="Verdana" w:cs="Verdana"/>
          <w:sz w:val="24"/>
          <w:szCs w:val="24"/>
        </w:rPr>
        <w:t xml:space="preserve"> a provider </w:t>
      </w:r>
      <w:r w:rsidR="2599370A" w:rsidRPr="153E4ADD">
        <w:rPr>
          <w:rFonts w:eastAsia="Verdana" w:cs="Verdana"/>
          <w:sz w:val="24"/>
          <w:szCs w:val="24"/>
        </w:rPr>
        <w:t xml:space="preserve">on </w:t>
      </w:r>
      <w:r w:rsidRPr="153E4ADD">
        <w:rPr>
          <w:rFonts w:eastAsia="Verdana" w:cs="Verdana"/>
          <w:sz w:val="24"/>
          <w:szCs w:val="24"/>
        </w:rPr>
        <w:t xml:space="preserve">one of the six </w:t>
      </w:r>
      <w:r w:rsidRPr="153E4ADD">
        <w:rPr>
          <w:rFonts w:eastAsia="Verdana" w:cs="Verdana"/>
          <w:color w:val="000000" w:themeColor="text1"/>
          <w:sz w:val="24"/>
          <w:szCs w:val="24"/>
        </w:rPr>
        <w:t>banded</w:t>
      </w:r>
      <w:r w:rsidRPr="153E4ADD">
        <w:rPr>
          <w:rFonts w:eastAsia="Verdana" w:cs="Verdana"/>
          <w:sz w:val="24"/>
          <w:szCs w:val="24"/>
        </w:rPr>
        <w:t xml:space="preserve"> rates for the region that should cover the reasonable costs of providing care.  This is not the same as </w:t>
      </w:r>
      <w:r w:rsidR="7B060272" w:rsidRPr="153E4ADD">
        <w:rPr>
          <w:rFonts w:eastAsia="Verdana" w:cs="Verdana"/>
          <w:sz w:val="24"/>
          <w:szCs w:val="24"/>
        </w:rPr>
        <w:t>funding an</w:t>
      </w:r>
      <w:r w:rsidRPr="153E4ADD">
        <w:rPr>
          <w:rFonts w:eastAsia="Verdana" w:cs="Verdana"/>
          <w:sz w:val="24"/>
          <w:szCs w:val="24"/>
        </w:rPr>
        <w:t xml:space="preserve"> individual’s cost.  </w:t>
      </w:r>
    </w:p>
    <w:p w14:paraId="2D468FCC" w14:textId="40E95704" w:rsidR="4755D38A" w:rsidRDefault="4755D38A" w:rsidP="5AC8AD5F">
      <w:pPr>
        <w:spacing w:after="0"/>
      </w:pPr>
      <w:r w:rsidRPr="5AC8AD5F">
        <w:rPr>
          <w:rFonts w:eastAsia="Verdana" w:cs="Verdana"/>
          <w:sz w:val="24"/>
          <w:szCs w:val="24"/>
        </w:rPr>
        <w:t xml:space="preserve"> </w:t>
      </w:r>
    </w:p>
    <w:p w14:paraId="551D8015" w14:textId="6C9BAF88" w:rsidR="4755D38A" w:rsidRPr="00C643DE" w:rsidRDefault="7BAD6047" w:rsidP="00C643DE">
      <w:pPr>
        <w:rPr>
          <w:sz w:val="24"/>
          <w:szCs w:val="28"/>
        </w:rPr>
      </w:pPr>
      <w:r w:rsidRPr="00C643DE">
        <w:rPr>
          <w:sz w:val="24"/>
          <w:szCs w:val="28"/>
        </w:rPr>
        <w:t xml:space="preserve">Providers should think of their total costs as being covered by the funding they receive for providing supports to residents.  </w:t>
      </w:r>
    </w:p>
    <w:p w14:paraId="16D1CE98" w14:textId="5555020A" w:rsidR="4755D38A" w:rsidRDefault="7BAD6047" w:rsidP="00C643DE">
      <w:pPr>
        <w:rPr>
          <w:sz w:val="24"/>
          <w:szCs w:val="28"/>
        </w:rPr>
      </w:pPr>
      <w:r w:rsidRPr="00C643DE">
        <w:rPr>
          <w:sz w:val="24"/>
          <w:szCs w:val="28"/>
        </w:rPr>
        <w:t>Most people supported in Community Group Homes are expected to be funded from the new Banded Rates</w:t>
      </w:r>
      <w:r w:rsidR="00641629" w:rsidRPr="00C643DE">
        <w:rPr>
          <w:sz w:val="24"/>
          <w:szCs w:val="28"/>
        </w:rPr>
        <w:t>. However</w:t>
      </w:r>
      <w:r w:rsidR="00C643DE">
        <w:rPr>
          <w:sz w:val="24"/>
          <w:szCs w:val="28"/>
        </w:rPr>
        <w:t>,</w:t>
      </w:r>
      <w:r w:rsidR="00641629" w:rsidRPr="00C643DE">
        <w:rPr>
          <w:sz w:val="24"/>
          <w:szCs w:val="28"/>
        </w:rPr>
        <w:t xml:space="preserve"> </w:t>
      </w:r>
      <w:r w:rsidRPr="00C643DE">
        <w:rPr>
          <w:sz w:val="24"/>
          <w:szCs w:val="28"/>
        </w:rPr>
        <w:t xml:space="preserve">we recognise that some disabled people require a higher level of specialised support – or have such extraordinary needs – that a standard funding approach may not be suitable. They will still require Individual Rates (allocated through an exceptions process).  </w:t>
      </w:r>
    </w:p>
    <w:p w14:paraId="4F2B4E9A" w14:textId="77777777" w:rsidR="00447970" w:rsidRPr="00C643DE" w:rsidRDefault="00447970" w:rsidP="00C643DE">
      <w:pPr>
        <w:rPr>
          <w:sz w:val="24"/>
          <w:szCs w:val="28"/>
        </w:rPr>
      </w:pPr>
    </w:p>
    <w:p w14:paraId="54A85D7B" w14:textId="2032E53D" w:rsidR="4755D38A" w:rsidRDefault="4755D38A" w:rsidP="5AC8AD5F">
      <w:r w:rsidRPr="7908F274">
        <w:rPr>
          <w:rFonts w:eastAsia="Verdana" w:cs="Verdana"/>
          <w:b/>
          <w:bCs/>
          <w:sz w:val="24"/>
          <w:szCs w:val="24"/>
        </w:rPr>
        <w:t xml:space="preserve">Will there </w:t>
      </w:r>
      <w:r w:rsidR="008E3DDD">
        <w:rPr>
          <w:rFonts w:eastAsia="Verdana" w:cs="Verdana"/>
          <w:b/>
          <w:bCs/>
          <w:sz w:val="24"/>
          <w:szCs w:val="24"/>
        </w:rPr>
        <w:t xml:space="preserve">continue to </w:t>
      </w:r>
      <w:r w:rsidR="00C643DE">
        <w:rPr>
          <w:rFonts w:eastAsia="Verdana" w:cs="Verdana"/>
          <w:b/>
          <w:bCs/>
          <w:sz w:val="24"/>
          <w:szCs w:val="24"/>
        </w:rPr>
        <w:t xml:space="preserve">be </w:t>
      </w:r>
      <w:r w:rsidR="00C643DE" w:rsidRPr="7908F274">
        <w:rPr>
          <w:rFonts w:eastAsia="Verdana" w:cs="Verdana"/>
          <w:b/>
          <w:bCs/>
          <w:sz w:val="24"/>
          <w:szCs w:val="24"/>
        </w:rPr>
        <w:t>Physical</w:t>
      </w:r>
      <w:r w:rsidR="00641629" w:rsidRPr="7908F274">
        <w:rPr>
          <w:rFonts w:eastAsia="Verdana" w:cs="Verdana"/>
          <w:b/>
          <w:bCs/>
          <w:sz w:val="24"/>
          <w:szCs w:val="24"/>
        </w:rPr>
        <w:t xml:space="preserve"> Disability </w:t>
      </w:r>
      <w:r w:rsidR="00641629">
        <w:rPr>
          <w:rFonts w:eastAsia="Verdana" w:cs="Verdana"/>
          <w:b/>
          <w:bCs/>
          <w:sz w:val="24"/>
          <w:szCs w:val="24"/>
        </w:rPr>
        <w:t xml:space="preserve">(PD) </w:t>
      </w:r>
      <w:r w:rsidR="00641629" w:rsidRPr="7908F274">
        <w:rPr>
          <w:rFonts w:eastAsia="Verdana" w:cs="Verdana"/>
          <w:b/>
          <w:bCs/>
          <w:sz w:val="24"/>
          <w:szCs w:val="24"/>
        </w:rPr>
        <w:t xml:space="preserve">and Intellectual </w:t>
      </w:r>
      <w:r w:rsidR="00447970">
        <w:rPr>
          <w:rFonts w:eastAsia="Verdana" w:cs="Verdana"/>
          <w:b/>
          <w:bCs/>
          <w:sz w:val="24"/>
          <w:szCs w:val="24"/>
        </w:rPr>
        <w:t>D</w:t>
      </w:r>
      <w:r w:rsidR="00641629" w:rsidRPr="7908F274">
        <w:rPr>
          <w:rFonts w:eastAsia="Verdana" w:cs="Verdana"/>
          <w:b/>
          <w:bCs/>
          <w:sz w:val="24"/>
          <w:szCs w:val="24"/>
        </w:rPr>
        <w:t>isability</w:t>
      </w:r>
      <w:r w:rsidR="00641629">
        <w:rPr>
          <w:rFonts w:eastAsia="Verdana" w:cs="Verdana"/>
          <w:b/>
          <w:bCs/>
          <w:sz w:val="24"/>
          <w:szCs w:val="24"/>
        </w:rPr>
        <w:t xml:space="preserve"> (ID)</w:t>
      </w:r>
      <w:r w:rsidR="00641629" w:rsidRPr="7908F274">
        <w:rPr>
          <w:rFonts w:eastAsia="Verdana" w:cs="Verdana"/>
          <w:b/>
          <w:bCs/>
          <w:sz w:val="24"/>
          <w:szCs w:val="24"/>
        </w:rPr>
        <w:t xml:space="preserve"> </w:t>
      </w:r>
      <w:r w:rsidRPr="7908F274">
        <w:rPr>
          <w:rFonts w:eastAsia="Verdana" w:cs="Verdana"/>
          <w:b/>
          <w:bCs/>
          <w:sz w:val="24"/>
          <w:szCs w:val="24"/>
        </w:rPr>
        <w:t>contracts</w:t>
      </w:r>
      <w:r w:rsidR="00641629">
        <w:rPr>
          <w:rFonts w:eastAsia="Verdana" w:cs="Verdana"/>
          <w:b/>
          <w:bCs/>
          <w:sz w:val="24"/>
          <w:szCs w:val="24"/>
        </w:rPr>
        <w:t>?</w:t>
      </w:r>
      <w:r w:rsidRPr="7908F274">
        <w:rPr>
          <w:rFonts w:eastAsia="Verdana" w:cs="Verdana"/>
          <w:b/>
          <w:bCs/>
          <w:sz w:val="24"/>
          <w:szCs w:val="24"/>
        </w:rPr>
        <w:t xml:space="preserve"> </w:t>
      </w:r>
    </w:p>
    <w:p w14:paraId="3C879EED" w14:textId="5EA0CBC5" w:rsidR="4755D38A" w:rsidRDefault="4755D38A" w:rsidP="00C643DE">
      <w:pPr>
        <w:rPr>
          <w:sz w:val="24"/>
          <w:szCs w:val="24"/>
        </w:rPr>
      </w:pPr>
      <w:r w:rsidRPr="153E4ADD">
        <w:rPr>
          <w:sz w:val="24"/>
          <w:szCs w:val="24"/>
        </w:rPr>
        <w:lastRenderedPageBreak/>
        <w:t xml:space="preserve">There will be a common set of banded rates for all residential support in community group homes. </w:t>
      </w:r>
      <w:r w:rsidR="00276E18" w:rsidRPr="153E4ADD">
        <w:rPr>
          <w:sz w:val="24"/>
          <w:szCs w:val="24"/>
        </w:rPr>
        <w:t xml:space="preserve">We are </w:t>
      </w:r>
      <w:r w:rsidRPr="153E4ADD">
        <w:rPr>
          <w:sz w:val="24"/>
          <w:szCs w:val="24"/>
        </w:rPr>
        <w:t xml:space="preserve">not proposing any changes to the differentiation of ID and PD </w:t>
      </w:r>
      <w:r w:rsidR="1B4D6B30" w:rsidRPr="153E4ADD">
        <w:rPr>
          <w:sz w:val="24"/>
          <w:szCs w:val="24"/>
        </w:rPr>
        <w:t xml:space="preserve">in the current </w:t>
      </w:r>
      <w:r w:rsidRPr="153E4ADD">
        <w:rPr>
          <w:sz w:val="24"/>
          <w:szCs w:val="24"/>
        </w:rPr>
        <w:t>contract</w:t>
      </w:r>
      <w:r w:rsidR="5B270CF4" w:rsidRPr="153E4ADD">
        <w:rPr>
          <w:sz w:val="24"/>
          <w:szCs w:val="24"/>
        </w:rPr>
        <w:t xml:space="preserve"> service specification</w:t>
      </w:r>
      <w:r w:rsidRPr="153E4ADD">
        <w:rPr>
          <w:sz w:val="24"/>
          <w:szCs w:val="24"/>
        </w:rPr>
        <w:t xml:space="preserve">. </w:t>
      </w:r>
    </w:p>
    <w:p w14:paraId="1CE859CD" w14:textId="0D648F00" w:rsidR="5F120A3B" w:rsidRDefault="5F120A3B" w:rsidP="5F120A3B">
      <w:pPr>
        <w:rPr>
          <w:sz w:val="24"/>
          <w:szCs w:val="24"/>
        </w:rPr>
      </w:pPr>
    </w:p>
    <w:p w14:paraId="368AF3AB" w14:textId="6DB85BF2" w:rsidR="4755D38A" w:rsidRDefault="4755D38A" w:rsidP="00447970">
      <w:pPr>
        <w:pStyle w:val="Heading3"/>
      </w:pPr>
      <w:r w:rsidRPr="7908F274">
        <w:t xml:space="preserve">What costs </w:t>
      </w:r>
      <w:r w:rsidR="00055270">
        <w:t>do the banded rates cover?</w:t>
      </w:r>
      <w:r w:rsidRPr="7908F274">
        <w:t xml:space="preserve"> </w:t>
      </w:r>
    </w:p>
    <w:p w14:paraId="65B995E5" w14:textId="6D268F4F" w:rsidR="4755D38A" w:rsidRPr="00447970" w:rsidRDefault="4755D38A" w:rsidP="00641629">
      <w:pPr>
        <w:rPr>
          <w:sz w:val="24"/>
          <w:szCs w:val="28"/>
        </w:rPr>
      </w:pPr>
      <w:r w:rsidRPr="00447970">
        <w:rPr>
          <w:sz w:val="24"/>
          <w:szCs w:val="28"/>
        </w:rPr>
        <w:t xml:space="preserve">The prices are based on fair and reasonable costs (in aggregate and on average) across </w:t>
      </w:r>
      <w:proofErr w:type="gramStart"/>
      <w:r w:rsidRPr="00447970">
        <w:rPr>
          <w:sz w:val="24"/>
          <w:szCs w:val="28"/>
        </w:rPr>
        <w:t>a number of</w:t>
      </w:r>
      <w:proofErr w:type="gramEnd"/>
      <w:r w:rsidRPr="00447970">
        <w:rPr>
          <w:sz w:val="24"/>
          <w:szCs w:val="28"/>
        </w:rPr>
        <w:t xml:space="preserve"> cost groups</w:t>
      </w:r>
      <w:r w:rsidR="00641629" w:rsidRPr="00447970">
        <w:rPr>
          <w:sz w:val="24"/>
          <w:szCs w:val="28"/>
        </w:rPr>
        <w:t xml:space="preserve">, such as </w:t>
      </w:r>
      <w:r w:rsidRPr="00447970">
        <w:rPr>
          <w:sz w:val="24"/>
          <w:szCs w:val="28"/>
        </w:rPr>
        <w:t>like staffing</w:t>
      </w:r>
      <w:r w:rsidR="00641629" w:rsidRPr="00447970">
        <w:rPr>
          <w:sz w:val="24"/>
          <w:szCs w:val="28"/>
        </w:rPr>
        <w:t xml:space="preserve"> </w:t>
      </w:r>
      <w:r w:rsidR="00C643DE" w:rsidRPr="00C643DE">
        <w:rPr>
          <w:sz w:val="24"/>
          <w:szCs w:val="28"/>
        </w:rPr>
        <w:t>and,</w:t>
      </w:r>
      <w:r w:rsidRPr="00447970">
        <w:rPr>
          <w:sz w:val="24"/>
          <w:szCs w:val="28"/>
        </w:rPr>
        <w:t xml:space="preserve"> housing. The model may not reflect each provider</w:t>
      </w:r>
      <w:r w:rsidR="00641629" w:rsidRPr="00447970">
        <w:rPr>
          <w:sz w:val="24"/>
          <w:szCs w:val="28"/>
        </w:rPr>
        <w:t>’</w:t>
      </w:r>
      <w:r w:rsidRPr="00447970">
        <w:rPr>
          <w:sz w:val="24"/>
          <w:szCs w:val="28"/>
        </w:rPr>
        <w:t xml:space="preserve">s exact costs for each person they support. </w:t>
      </w:r>
    </w:p>
    <w:p w14:paraId="6498A3EA" w14:textId="40AA941A" w:rsidR="4755D38A" w:rsidRDefault="4755D38A" w:rsidP="00641629">
      <w:pPr>
        <w:rPr>
          <w:sz w:val="24"/>
          <w:szCs w:val="24"/>
        </w:rPr>
      </w:pPr>
      <w:r w:rsidRPr="153E4ADD">
        <w:rPr>
          <w:sz w:val="24"/>
          <w:szCs w:val="24"/>
        </w:rPr>
        <w:t xml:space="preserve">DSS </w:t>
      </w:r>
      <w:r w:rsidR="3FA1EE15" w:rsidRPr="153E4ADD">
        <w:rPr>
          <w:sz w:val="24"/>
          <w:szCs w:val="24"/>
        </w:rPr>
        <w:t xml:space="preserve">has </w:t>
      </w:r>
      <w:r w:rsidRPr="153E4ADD">
        <w:rPr>
          <w:sz w:val="24"/>
          <w:szCs w:val="24"/>
        </w:rPr>
        <w:t>provid</w:t>
      </w:r>
      <w:r w:rsidR="3FE33894" w:rsidRPr="153E4ADD">
        <w:rPr>
          <w:sz w:val="24"/>
          <w:szCs w:val="24"/>
        </w:rPr>
        <w:t>ed</w:t>
      </w:r>
      <w:r w:rsidRPr="153E4ADD">
        <w:rPr>
          <w:sz w:val="24"/>
          <w:szCs w:val="24"/>
        </w:rPr>
        <w:t xml:space="preserve"> more information about </w:t>
      </w:r>
      <w:r w:rsidR="00641629" w:rsidRPr="153E4ADD">
        <w:rPr>
          <w:sz w:val="24"/>
          <w:szCs w:val="24"/>
        </w:rPr>
        <w:t xml:space="preserve">this, and this will be available </w:t>
      </w:r>
      <w:r w:rsidR="00C643DE" w:rsidRPr="153E4ADD">
        <w:rPr>
          <w:sz w:val="24"/>
          <w:szCs w:val="24"/>
        </w:rPr>
        <w:t xml:space="preserve">on the Disability Support Services website. </w:t>
      </w:r>
      <w:r w:rsidRPr="153E4ADD">
        <w:rPr>
          <w:sz w:val="24"/>
          <w:szCs w:val="24"/>
        </w:rPr>
        <w:t xml:space="preserve"> </w:t>
      </w:r>
    </w:p>
    <w:p w14:paraId="580E494F" w14:textId="77777777" w:rsidR="00447970" w:rsidRPr="00447970" w:rsidRDefault="00447970" w:rsidP="00641629">
      <w:pPr>
        <w:rPr>
          <w:sz w:val="24"/>
          <w:szCs w:val="28"/>
        </w:rPr>
      </w:pPr>
    </w:p>
    <w:p w14:paraId="4762DD6D" w14:textId="43F9996F" w:rsidR="4755D38A" w:rsidRDefault="00641629" w:rsidP="5AC8AD5F">
      <w:r>
        <w:rPr>
          <w:rFonts w:eastAsia="Verdana" w:cs="Verdana"/>
          <w:b/>
          <w:bCs/>
          <w:sz w:val="24"/>
          <w:szCs w:val="24"/>
        </w:rPr>
        <w:t>Is there a margin built in for</w:t>
      </w:r>
      <w:r w:rsidR="008E3DDD">
        <w:rPr>
          <w:rFonts w:eastAsia="Verdana" w:cs="Verdana"/>
          <w:b/>
          <w:bCs/>
          <w:sz w:val="24"/>
          <w:szCs w:val="24"/>
        </w:rPr>
        <w:t xml:space="preserve"> providers?</w:t>
      </w:r>
    </w:p>
    <w:p w14:paraId="36D582A1" w14:textId="3F022EC5" w:rsidR="4755D38A" w:rsidRPr="00447970" w:rsidRDefault="4755D38A" w:rsidP="00641629">
      <w:pPr>
        <w:rPr>
          <w:sz w:val="24"/>
          <w:szCs w:val="28"/>
        </w:rPr>
      </w:pPr>
      <w:r w:rsidRPr="00447970">
        <w:rPr>
          <w:sz w:val="24"/>
          <w:szCs w:val="28"/>
        </w:rPr>
        <w:t>The model is based on reasonable, but generous</w:t>
      </w:r>
      <w:r w:rsidR="00AE007C">
        <w:rPr>
          <w:sz w:val="24"/>
          <w:szCs w:val="28"/>
        </w:rPr>
        <w:t>,</w:t>
      </w:r>
      <w:r w:rsidRPr="00447970">
        <w:rPr>
          <w:sz w:val="24"/>
          <w:szCs w:val="28"/>
        </w:rPr>
        <w:t xml:space="preserve"> cost assumptions for each component. There is no additional margin added.</w:t>
      </w:r>
    </w:p>
    <w:p w14:paraId="380120C6" w14:textId="47B7EDC5" w:rsidR="4755D38A" w:rsidRPr="00447970" w:rsidRDefault="4755D38A" w:rsidP="00447970">
      <w:pPr>
        <w:rPr>
          <w:sz w:val="24"/>
          <w:szCs w:val="28"/>
        </w:rPr>
      </w:pPr>
      <w:r w:rsidRPr="00447970">
        <w:rPr>
          <w:sz w:val="24"/>
          <w:szCs w:val="28"/>
        </w:rPr>
        <w:t xml:space="preserve">The new pricing model is based on reasonable costs of delivering community residential care and is benchmarked against external data, for example food </w:t>
      </w:r>
      <w:r w:rsidR="00641629">
        <w:rPr>
          <w:sz w:val="24"/>
          <w:szCs w:val="28"/>
        </w:rPr>
        <w:t xml:space="preserve">price </w:t>
      </w:r>
      <w:r w:rsidRPr="00447970">
        <w:rPr>
          <w:sz w:val="24"/>
          <w:szCs w:val="28"/>
        </w:rPr>
        <w:t xml:space="preserve">inflation. </w:t>
      </w:r>
    </w:p>
    <w:p w14:paraId="025622B7" w14:textId="502E5F67" w:rsidR="4755D38A" w:rsidRPr="00447970" w:rsidRDefault="4755D38A" w:rsidP="00447970">
      <w:pPr>
        <w:rPr>
          <w:sz w:val="24"/>
          <w:szCs w:val="28"/>
        </w:rPr>
      </w:pPr>
      <w:r w:rsidRPr="00447970">
        <w:rPr>
          <w:sz w:val="24"/>
          <w:szCs w:val="28"/>
        </w:rPr>
        <w:t xml:space="preserve">These costs have been informed by a review of the 14 existing pricing models and tested with a representative group of providers. </w:t>
      </w:r>
    </w:p>
    <w:p w14:paraId="5103BAEB" w14:textId="0D3E0AA2" w:rsidR="4755D38A" w:rsidRDefault="4755D38A" w:rsidP="00447970">
      <w:pPr>
        <w:rPr>
          <w:color w:val="000000" w:themeColor="text1"/>
          <w:sz w:val="24"/>
          <w:szCs w:val="24"/>
        </w:rPr>
      </w:pPr>
      <w:r w:rsidRPr="153E4ADD">
        <w:rPr>
          <w:sz w:val="24"/>
          <w:szCs w:val="24"/>
        </w:rPr>
        <w:t>The model will be reviewed annually so</w:t>
      </w:r>
      <w:r w:rsidR="375E7205" w:rsidRPr="153E4ADD">
        <w:rPr>
          <w:sz w:val="24"/>
          <w:szCs w:val="24"/>
        </w:rPr>
        <w:t xml:space="preserve"> funding</w:t>
      </w:r>
      <w:r w:rsidRPr="153E4ADD">
        <w:rPr>
          <w:sz w:val="24"/>
          <w:szCs w:val="24"/>
        </w:rPr>
        <w:t xml:space="preserve"> decisions are informed by the changing costs of services. </w:t>
      </w:r>
      <w:r w:rsidRPr="153E4ADD">
        <w:rPr>
          <w:color w:val="000000" w:themeColor="text1"/>
          <w:sz w:val="24"/>
          <w:szCs w:val="24"/>
        </w:rPr>
        <w:t xml:space="preserve">This annual review process will reduce the need for ad hoc individual rates, enable </w:t>
      </w:r>
      <w:r w:rsidR="00055270" w:rsidRPr="153E4ADD">
        <w:rPr>
          <w:color w:val="000000" w:themeColor="text1"/>
          <w:sz w:val="24"/>
          <w:szCs w:val="24"/>
        </w:rPr>
        <w:t xml:space="preserve">us </w:t>
      </w:r>
      <w:r w:rsidRPr="153E4ADD">
        <w:rPr>
          <w:color w:val="000000" w:themeColor="text1"/>
          <w:sz w:val="24"/>
          <w:szCs w:val="24"/>
        </w:rPr>
        <w:t>to better forecast expenditure, and support the Government to make informed Budget decisions</w:t>
      </w:r>
      <w:r w:rsidR="00641629" w:rsidRPr="153E4ADD">
        <w:rPr>
          <w:color w:val="000000" w:themeColor="text1"/>
          <w:sz w:val="24"/>
          <w:szCs w:val="24"/>
        </w:rPr>
        <w:t xml:space="preserve">. This will provide </w:t>
      </w:r>
      <w:r w:rsidRPr="153E4ADD">
        <w:rPr>
          <w:color w:val="000000" w:themeColor="text1"/>
          <w:sz w:val="24"/>
          <w:szCs w:val="24"/>
        </w:rPr>
        <w:t>greater certainty and confidence for providers and the disabled people we serve</w:t>
      </w:r>
      <w:r w:rsidR="00641629" w:rsidRPr="153E4ADD">
        <w:rPr>
          <w:color w:val="000000" w:themeColor="text1"/>
          <w:sz w:val="24"/>
          <w:szCs w:val="24"/>
        </w:rPr>
        <w:t>.</w:t>
      </w:r>
      <w:r w:rsidRPr="153E4ADD">
        <w:rPr>
          <w:color w:val="000000" w:themeColor="text1"/>
          <w:sz w:val="24"/>
          <w:szCs w:val="24"/>
        </w:rPr>
        <w:t xml:space="preserve"> </w:t>
      </w:r>
    </w:p>
    <w:p w14:paraId="2058F2DB" w14:textId="77777777" w:rsidR="00447970" w:rsidRDefault="00447970" w:rsidP="00447970"/>
    <w:p w14:paraId="64E619FB" w14:textId="4DDEB3B4" w:rsidR="4755D38A" w:rsidRDefault="4755D38A" w:rsidP="00447970">
      <w:pPr>
        <w:pStyle w:val="Heading3"/>
      </w:pPr>
      <w:r w:rsidRPr="7908F274">
        <w:t>Is the cost of compliance reflected in the tool?</w:t>
      </w:r>
    </w:p>
    <w:p w14:paraId="6A7FA14D" w14:textId="77777777" w:rsidR="4755D38A" w:rsidRDefault="4755D38A" w:rsidP="5AC8AD5F">
      <w:pPr>
        <w:rPr>
          <w:rFonts w:eastAsia="Verdana" w:cs="Verdana"/>
          <w:color w:val="000000" w:themeColor="text1"/>
          <w:sz w:val="24"/>
          <w:szCs w:val="24"/>
        </w:rPr>
      </w:pPr>
      <w:r w:rsidRPr="7908F274">
        <w:rPr>
          <w:rFonts w:eastAsia="Verdana" w:cs="Verdana"/>
          <w:color w:val="000000" w:themeColor="text1"/>
          <w:sz w:val="24"/>
          <w:szCs w:val="24"/>
        </w:rPr>
        <w:t>Overhead costs are built into the pricing.</w:t>
      </w:r>
    </w:p>
    <w:p w14:paraId="5D22C36E" w14:textId="77777777" w:rsidR="00447970" w:rsidRDefault="00447970" w:rsidP="5AC8AD5F"/>
    <w:p w14:paraId="772A794C" w14:textId="77777777" w:rsidR="00671846" w:rsidRDefault="4755D38A" w:rsidP="00447970">
      <w:pPr>
        <w:pStyle w:val="Heading3"/>
      </w:pPr>
      <w:r w:rsidRPr="7908F274">
        <w:t>Does that '89 providers' include all residential providers</w:t>
      </w:r>
      <w:r w:rsidR="00671846">
        <w:t>?</w:t>
      </w:r>
    </w:p>
    <w:p w14:paraId="1A9F5F32" w14:textId="21FD7877" w:rsidR="4755D38A" w:rsidRDefault="4755D38A" w:rsidP="5AC8AD5F">
      <w:pPr>
        <w:rPr>
          <w:rFonts w:eastAsia="Verdana" w:cs="Verdana"/>
          <w:sz w:val="24"/>
          <w:szCs w:val="24"/>
        </w:rPr>
      </w:pPr>
      <w:r w:rsidRPr="153E4ADD">
        <w:rPr>
          <w:rFonts w:eastAsia="Verdana" w:cs="Verdana"/>
          <w:sz w:val="24"/>
          <w:szCs w:val="24"/>
        </w:rPr>
        <w:lastRenderedPageBreak/>
        <w:t>The 89 providers include all providers of community residential support</w:t>
      </w:r>
      <w:r w:rsidR="008E3DDD" w:rsidRPr="153E4ADD">
        <w:rPr>
          <w:rFonts w:eastAsia="Verdana" w:cs="Verdana"/>
          <w:sz w:val="24"/>
          <w:szCs w:val="24"/>
        </w:rPr>
        <w:t xml:space="preserve">, including </w:t>
      </w:r>
      <w:r w:rsidRPr="153E4ADD">
        <w:rPr>
          <w:rFonts w:eastAsia="Verdana" w:cs="Verdana"/>
          <w:sz w:val="24"/>
          <w:szCs w:val="24"/>
        </w:rPr>
        <w:t xml:space="preserve">providers </w:t>
      </w:r>
      <w:r w:rsidR="00671846" w:rsidRPr="153E4ADD">
        <w:rPr>
          <w:rFonts w:eastAsia="Verdana" w:cs="Verdana"/>
          <w:sz w:val="24"/>
          <w:szCs w:val="24"/>
        </w:rPr>
        <w:t xml:space="preserve">who support fewer </w:t>
      </w:r>
      <w:r w:rsidRPr="153E4ADD">
        <w:rPr>
          <w:rFonts w:eastAsia="Verdana" w:cs="Verdana"/>
          <w:sz w:val="24"/>
          <w:szCs w:val="24"/>
        </w:rPr>
        <w:t xml:space="preserve">than 10 people. </w:t>
      </w:r>
    </w:p>
    <w:p w14:paraId="1682A859" w14:textId="77777777" w:rsidR="00447970" w:rsidRDefault="00447970" w:rsidP="5AC8AD5F"/>
    <w:p w14:paraId="6F13CD70" w14:textId="362E2EFD" w:rsidR="4755D38A" w:rsidRDefault="4755D38A" w:rsidP="00447970">
      <w:pPr>
        <w:pStyle w:val="Heading3"/>
      </w:pPr>
      <w:r w:rsidRPr="7908F274">
        <w:t>Will the band</w:t>
      </w:r>
      <w:r w:rsidR="00AE007C">
        <w:t>ed</w:t>
      </w:r>
      <w:r w:rsidRPr="7908F274">
        <w:t xml:space="preserve"> rates be reviewed annually?</w:t>
      </w:r>
    </w:p>
    <w:p w14:paraId="3D3A7AFC" w14:textId="6CBE8537" w:rsidR="7908F274" w:rsidRDefault="008E3DDD" w:rsidP="7908F274">
      <w:pPr>
        <w:rPr>
          <w:rFonts w:eastAsia="Verdana" w:cs="Verdana"/>
          <w:sz w:val="24"/>
          <w:szCs w:val="24"/>
        </w:rPr>
      </w:pPr>
      <w:r>
        <w:rPr>
          <w:rFonts w:eastAsia="Verdana" w:cs="Verdana"/>
          <w:sz w:val="24"/>
          <w:szCs w:val="24"/>
        </w:rPr>
        <w:t>Yes.</w:t>
      </w:r>
    </w:p>
    <w:p w14:paraId="46BB6573" w14:textId="73FDFD15" w:rsidR="4755D38A" w:rsidRDefault="4755D38A" w:rsidP="00447970">
      <w:pPr>
        <w:pStyle w:val="Heading3"/>
      </w:pPr>
      <w:r w:rsidRPr="7908F274">
        <w:t>When are you going to provide the actual banded rates?</w:t>
      </w:r>
    </w:p>
    <w:p w14:paraId="33809609" w14:textId="45698DB7" w:rsidR="00367D86" w:rsidRDefault="00367D86" w:rsidP="00367D86">
      <w:pPr>
        <w:rPr>
          <w:rStyle w:val="eop"/>
          <w:color w:val="000000"/>
          <w:sz w:val="24"/>
          <w:szCs w:val="24"/>
          <w:shd w:val="clear" w:color="auto" w:fill="FFFFFF"/>
        </w:rPr>
      </w:pPr>
      <w:r>
        <w:rPr>
          <w:rFonts w:eastAsia="Verdana" w:cs="Verdana"/>
          <w:color w:val="000000" w:themeColor="text1"/>
          <w:sz w:val="24"/>
          <w:szCs w:val="24"/>
        </w:rPr>
        <w:t>We</w:t>
      </w:r>
      <w:r w:rsidRPr="00760E0C">
        <w:rPr>
          <w:rFonts w:eastAsia="Verdana" w:cs="Verdana"/>
          <w:color w:val="000000" w:themeColor="text1"/>
          <w:sz w:val="24"/>
          <w:szCs w:val="24"/>
        </w:rPr>
        <w:t xml:space="preserve"> will </w:t>
      </w:r>
      <w:r w:rsidRPr="00760E0C">
        <w:rPr>
          <w:rStyle w:val="normaltextrun"/>
          <w:color w:val="000000"/>
          <w:sz w:val="24"/>
          <w:szCs w:val="24"/>
          <w:shd w:val="clear" w:color="auto" w:fill="FFFFFF"/>
        </w:rPr>
        <w:t>be asking</w:t>
      </w:r>
      <w:r w:rsidRPr="00760E0C">
        <w:rPr>
          <w:rStyle w:val="normaltextrun"/>
          <w:color w:val="000000" w:themeColor="text1"/>
          <w:sz w:val="24"/>
          <w:szCs w:val="24"/>
        </w:rPr>
        <w:t xml:space="preserve"> providers to validate and update some key information (such as house size, house capacity</w:t>
      </w:r>
      <w:r w:rsidRPr="00760E0C">
        <w:rPr>
          <w:rStyle w:val="normaltextrun"/>
          <w:color w:val="000000"/>
          <w:sz w:val="24"/>
          <w:szCs w:val="24"/>
          <w:shd w:val="clear" w:color="auto" w:fill="FFFFFF"/>
        </w:rPr>
        <w:t xml:space="preserve"> and occupancy</w:t>
      </w:r>
      <w:r>
        <w:rPr>
          <w:rStyle w:val="normaltextrun"/>
          <w:color w:val="000000"/>
          <w:sz w:val="24"/>
          <w:szCs w:val="24"/>
          <w:shd w:val="clear" w:color="auto" w:fill="FFFFFF"/>
        </w:rPr>
        <w:t>)</w:t>
      </w:r>
      <w:r w:rsidRPr="00760E0C">
        <w:rPr>
          <w:rStyle w:val="normaltextrun"/>
          <w:color w:val="000000"/>
          <w:sz w:val="24"/>
          <w:szCs w:val="24"/>
          <w:shd w:val="clear" w:color="auto" w:fill="FFFFFF"/>
        </w:rPr>
        <w:t xml:space="preserve"> across their residential homes.</w:t>
      </w:r>
      <w:r>
        <w:rPr>
          <w:rStyle w:val="normaltextrun"/>
          <w:color w:val="000000"/>
          <w:sz w:val="24"/>
          <w:szCs w:val="24"/>
          <w:shd w:val="clear" w:color="auto" w:fill="FFFFFF"/>
        </w:rPr>
        <w:t xml:space="preserve"> </w:t>
      </w:r>
    </w:p>
    <w:p w14:paraId="6708ADA9" w14:textId="77777777" w:rsidR="00367D86" w:rsidRPr="00727903" w:rsidRDefault="00367D86" w:rsidP="00367D86">
      <w:pPr>
        <w:rPr>
          <w:sz w:val="24"/>
          <w:szCs w:val="24"/>
        </w:rPr>
      </w:pPr>
      <w:r w:rsidRPr="008B2BA0">
        <w:rPr>
          <w:rStyle w:val="normaltextrun"/>
          <w:color w:val="000000" w:themeColor="text1"/>
          <w:sz w:val="24"/>
          <w:szCs w:val="24"/>
        </w:rPr>
        <w:t xml:space="preserve">This information </w:t>
      </w:r>
      <w:r>
        <w:rPr>
          <w:rStyle w:val="normaltextrun"/>
          <w:color w:val="000000" w:themeColor="text1"/>
          <w:sz w:val="24"/>
          <w:szCs w:val="24"/>
        </w:rPr>
        <w:t xml:space="preserve">will help us ensure </w:t>
      </w:r>
      <w:r w:rsidRPr="008B2BA0">
        <w:rPr>
          <w:rStyle w:val="normaltextrun"/>
          <w:color w:val="000000"/>
          <w:sz w:val="24"/>
          <w:szCs w:val="24"/>
          <w:shd w:val="clear" w:color="auto" w:fill="FFFFFF"/>
        </w:rPr>
        <w:t>the new residential Pricing Model bands accurately reflect current services and can support a fair and consistent approach.</w:t>
      </w:r>
    </w:p>
    <w:p w14:paraId="52FB16CB" w14:textId="1C7EDDF2" w:rsidR="00367D86" w:rsidRDefault="00367D86" w:rsidP="00367D86">
      <w:pPr>
        <w:rPr>
          <w:rFonts w:eastAsia="Verdana" w:cs="Verdana"/>
          <w:color w:val="000000" w:themeColor="text1"/>
          <w:sz w:val="24"/>
          <w:szCs w:val="24"/>
        </w:rPr>
      </w:pPr>
      <w:r w:rsidRPr="153E4ADD">
        <w:rPr>
          <w:rFonts w:eastAsia="Verdana" w:cs="Verdana"/>
          <w:color w:val="000000" w:themeColor="text1"/>
          <w:sz w:val="24"/>
          <w:szCs w:val="24"/>
        </w:rPr>
        <w:t xml:space="preserve">Providers will be advised of finalised rates following this validation.  </w:t>
      </w:r>
      <w:r w:rsidR="26A672FA" w:rsidRPr="5542EA2F">
        <w:rPr>
          <w:rFonts w:eastAsia="Verdana" w:cs="Verdana"/>
          <w:color w:val="000000" w:themeColor="text1"/>
          <w:sz w:val="24"/>
          <w:szCs w:val="24"/>
        </w:rPr>
        <w:t xml:space="preserve">We estimate to be by September 2025. </w:t>
      </w:r>
    </w:p>
    <w:p w14:paraId="12D6FC32" w14:textId="77777777" w:rsidR="00447970" w:rsidRPr="00760E0C" w:rsidRDefault="00447970" w:rsidP="00367D86">
      <w:pPr>
        <w:rPr>
          <w:rFonts w:eastAsia="Verdana" w:cs="Verdana"/>
          <w:color w:val="000000" w:themeColor="text1"/>
          <w:sz w:val="24"/>
          <w:szCs w:val="24"/>
        </w:rPr>
      </w:pPr>
    </w:p>
    <w:p w14:paraId="4069970F" w14:textId="24B55AFC" w:rsidR="4755D38A" w:rsidRDefault="4755D38A" w:rsidP="00447970">
      <w:pPr>
        <w:pStyle w:val="Heading2"/>
      </w:pPr>
      <w:r w:rsidRPr="5AC8AD5F">
        <w:t>A</w:t>
      </w:r>
      <w:r w:rsidR="00447970">
        <w:t>ssumptions</w:t>
      </w:r>
    </w:p>
    <w:p w14:paraId="5A85A0DD" w14:textId="37F041A9" w:rsidR="4755D38A" w:rsidRDefault="4755D38A" w:rsidP="00447970">
      <w:pPr>
        <w:pStyle w:val="Heading3"/>
      </w:pPr>
      <w:r w:rsidRPr="7908F274">
        <w:t>Who were the providers that contributed to the assumptions</w:t>
      </w:r>
      <w:r w:rsidR="00AB7C0E">
        <w:t>?</w:t>
      </w:r>
      <w:r w:rsidRPr="7908F274">
        <w:t xml:space="preserve"> </w:t>
      </w:r>
    </w:p>
    <w:p w14:paraId="5379357F" w14:textId="1713C464" w:rsidR="4755D38A" w:rsidRPr="00447970" w:rsidRDefault="00AB7C0E" w:rsidP="00671846">
      <w:pPr>
        <w:rPr>
          <w:sz w:val="24"/>
          <w:szCs w:val="28"/>
        </w:rPr>
      </w:pPr>
      <w:r>
        <w:rPr>
          <w:sz w:val="24"/>
          <w:szCs w:val="28"/>
        </w:rPr>
        <w:t>We</w:t>
      </w:r>
      <w:r w:rsidRPr="00447970">
        <w:rPr>
          <w:sz w:val="24"/>
          <w:szCs w:val="28"/>
        </w:rPr>
        <w:t xml:space="preserve"> </w:t>
      </w:r>
      <w:r w:rsidR="4755D38A" w:rsidRPr="00447970">
        <w:rPr>
          <w:sz w:val="24"/>
          <w:szCs w:val="28"/>
        </w:rPr>
        <w:t xml:space="preserve">engaged with a mix of small, </w:t>
      </w:r>
      <w:proofErr w:type="gramStart"/>
      <w:r w:rsidR="4755D38A" w:rsidRPr="00447970">
        <w:rPr>
          <w:sz w:val="24"/>
          <w:szCs w:val="28"/>
        </w:rPr>
        <w:t>medium</w:t>
      </w:r>
      <w:proofErr w:type="gramEnd"/>
      <w:r w:rsidR="4755D38A" w:rsidRPr="00447970">
        <w:rPr>
          <w:sz w:val="24"/>
          <w:szCs w:val="28"/>
        </w:rPr>
        <w:t xml:space="preserve"> and large residential providers to test the assumptions of the new pricing model. Go to our website for more information:</w:t>
      </w:r>
    </w:p>
    <w:p w14:paraId="398D9EC0" w14:textId="05FC5E84" w:rsidR="4755D38A" w:rsidRDefault="00EE0943" w:rsidP="5AC8AD5F">
      <w:pPr>
        <w:rPr>
          <w:rStyle w:val="Hyperlink"/>
          <w:rFonts w:eastAsia="Verdana" w:cs="Verdana"/>
          <w:sz w:val="24"/>
          <w:szCs w:val="24"/>
        </w:rPr>
      </w:pPr>
      <w:hyperlink r:id="rId12">
        <w:r w:rsidR="4755D38A" w:rsidRPr="00671846">
          <w:rPr>
            <w:rStyle w:val="Hyperlink"/>
            <w:rFonts w:eastAsia="Verdana" w:cs="Verdana"/>
            <w:sz w:val="24"/>
            <w:szCs w:val="24"/>
          </w:rPr>
          <w:t>Provider engagement on pricing model | Disability Support Services</w:t>
        </w:r>
      </w:hyperlink>
    </w:p>
    <w:p w14:paraId="5B3ADF4B" w14:textId="77777777" w:rsidR="00447970" w:rsidRDefault="00447970" w:rsidP="5AC8AD5F"/>
    <w:p w14:paraId="4F661161" w14:textId="747B2279" w:rsidR="4755D38A" w:rsidRDefault="4755D38A" w:rsidP="00447970">
      <w:pPr>
        <w:pStyle w:val="Heading3"/>
      </w:pPr>
      <w:r w:rsidRPr="7908F274">
        <w:t xml:space="preserve">When will you be in touch with providers to validate the assumptions made regarding each provider? </w:t>
      </w:r>
    </w:p>
    <w:p w14:paraId="1837C130" w14:textId="3BD54F91" w:rsidR="4755D38A" w:rsidRPr="00A70B35" w:rsidRDefault="00353F63" w:rsidP="00A70B35">
      <w:pPr>
        <w:rPr>
          <w:sz w:val="24"/>
          <w:szCs w:val="24"/>
        </w:rPr>
      </w:pPr>
      <w:r>
        <w:rPr>
          <w:sz w:val="24"/>
          <w:szCs w:val="24"/>
        </w:rPr>
        <w:t>We</w:t>
      </w:r>
      <w:r w:rsidRPr="7908F274">
        <w:rPr>
          <w:sz w:val="24"/>
          <w:szCs w:val="24"/>
        </w:rPr>
        <w:t xml:space="preserve"> </w:t>
      </w:r>
      <w:r w:rsidR="4755D38A" w:rsidRPr="7908F274">
        <w:rPr>
          <w:sz w:val="24"/>
          <w:szCs w:val="24"/>
        </w:rPr>
        <w:t>will be in contact with providers soon to validate data we need to finalise the trans</w:t>
      </w:r>
      <w:r w:rsidR="00C5275E">
        <w:rPr>
          <w:sz w:val="24"/>
          <w:szCs w:val="24"/>
        </w:rPr>
        <w:t>ition</w:t>
      </w:r>
      <w:r w:rsidR="4755D38A" w:rsidRPr="7908F274">
        <w:rPr>
          <w:sz w:val="24"/>
          <w:szCs w:val="24"/>
        </w:rPr>
        <w:t xml:space="preserve"> of people you currently support onto new banded or exceptional rates. </w:t>
      </w:r>
    </w:p>
    <w:p w14:paraId="412D4698" w14:textId="77777777" w:rsidR="00353F63" w:rsidRPr="00727903" w:rsidRDefault="00353F63" w:rsidP="00353F63">
      <w:pPr>
        <w:rPr>
          <w:sz w:val="24"/>
          <w:szCs w:val="24"/>
        </w:rPr>
      </w:pPr>
      <w:r w:rsidRPr="008B2BA0">
        <w:rPr>
          <w:rStyle w:val="normaltextrun"/>
          <w:color w:val="000000" w:themeColor="text1"/>
          <w:sz w:val="24"/>
          <w:szCs w:val="24"/>
        </w:rPr>
        <w:t xml:space="preserve">This information </w:t>
      </w:r>
      <w:r>
        <w:rPr>
          <w:rStyle w:val="normaltextrun"/>
          <w:color w:val="000000" w:themeColor="text1"/>
          <w:sz w:val="24"/>
          <w:szCs w:val="24"/>
        </w:rPr>
        <w:t xml:space="preserve">will help us ensure </w:t>
      </w:r>
      <w:r w:rsidRPr="008B2BA0">
        <w:rPr>
          <w:rStyle w:val="normaltextrun"/>
          <w:color w:val="000000"/>
          <w:sz w:val="24"/>
          <w:szCs w:val="24"/>
          <w:shd w:val="clear" w:color="auto" w:fill="FFFFFF"/>
        </w:rPr>
        <w:t>the new residential Pricing Model bands accurately reflect current services and can support a fair and consistent approach.</w:t>
      </w:r>
    </w:p>
    <w:p w14:paraId="5417C078" w14:textId="74639742" w:rsidR="00A70B35" w:rsidRDefault="4755D38A" w:rsidP="5AC8AD5F">
      <w:pPr>
        <w:rPr>
          <w:sz w:val="24"/>
          <w:szCs w:val="24"/>
        </w:rPr>
      </w:pPr>
      <w:r w:rsidRPr="00A70B35">
        <w:rPr>
          <w:sz w:val="24"/>
          <w:szCs w:val="24"/>
        </w:rPr>
        <w:t xml:space="preserve">Providers will be advised of finalised rates for the people you support following this validation.  </w:t>
      </w:r>
    </w:p>
    <w:p w14:paraId="7E41D93B" w14:textId="77777777" w:rsidR="00447970" w:rsidRDefault="00447970" w:rsidP="5AC8AD5F"/>
    <w:p w14:paraId="2F7EC7F4" w14:textId="6793345B" w:rsidR="00671846" w:rsidRDefault="4755D38A" w:rsidP="5AC8AD5F">
      <w:pPr>
        <w:rPr>
          <w:rFonts w:eastAsia="Verdana" w:cs="Verdana"/>
          <w:b/>
          <w:bCs/>
          <w:sz w:val="24"/>
          <w:szCs w:val="24"/>
        </w:rPr>
      </w:pPr>
      <w:r w:rsidRPr="00447970">
        <w:rPr>
          <w:rStyle w:val="Heading3Char"/>
        </w:rPr>
        <w:t xml:space="preserve">When will </w:t>
      </w:r>
      <w:r w:rsidR="00671846" w:rsidRPr="00447970">
        <w:rPr>
          <w:rStyle w:val="Heading3Char"/>
        </w:rPr>
        <w:t>more detail be available on the banded rates and assumptions underpinning them?</w:t>
      </w:r>
    </w:p>
    <w:p w14:paraId="4E8D014C" w14:textId="32FC528F" w:rsidR="4755D38A" w:rsidRPr="00447970" w:rsidRDefault="4755D38A" w:rsidP="00671846">
      <w:pPr>
        <w:rPr>
          <w:sz w:val="24"/>
          <w:szCs w:val="24"/>
        </w:rPr>
      </w:pPr>
      <w:r w:rsidRPr="00447970">
        <w:rPr>
          <w:sz w:val="24"/>
          <w:szCs w:val="24"/>
        </w:rPr>
        <w:t xml:space="preserve">We expect to share more detailed information on the pricing assumptions and external reference points in the coming weeks. </w:t>
      </w:r>
    </w:p>
    <w:p w14:paraId="217A09C9" w14:textId="73D1912D" w:rsidR="5542EA2F" w:rsidRDefault="5542EA2F" w:rsidP="5542EA2F">
      <w:pPr>
        <w:rPr>
          <w:sz w:val="24"/>
          <w:szCs w:val="24"/>
        </w:rPr>
      </w:pPr>
    </w:p>
    <w:p w14:paraId="44220ADB" w14:textId="43B61DD1" w:rsidR="4755D38A" w:rsidRDefault="00447970" w:rsidP="00447970">
      <w:pPr>
        <w:pStyle w:val="Heading2"/>
      </w:pPr>
      <w:r>
        <w:t xml:space="preserve">Home </w:t>
      </w:r>
      <w:r w:rsidR="00EE0943">
        <w:t>s</w:t>
      </w:r>
      <w:r>
        <w:t>ize</w:t>
      </w:r>
    </w:p>
    <w:p w14:paraId="0826EBD9" w14:textId="5CD47A4E" w:rsidR="4755D38A" w:rsidRDefault="4755D38A" w:rsidP="00447970">
      <w:pPr>
        <w:pStyle w:val="Heading3"/>
      </w:pPr>
      <w:r w:rsidRPr="7908F274">
        <w:t xml:space="preserve">What assumptions have been made in terms of people in a home? </w:t>
      </w:r>
    </w:p>
    <w:p w14:paraId="576286A2" w14:textId="5E64F4C0" w:rsidR="4755D38A" w:rsidRPr="00447970" w:rsidRDefault="4755D38A" w:rsidP="00671846">
      <w:pPr>
        <w:rPr>
          <w:sz w:val="24"/>
          <w:szCs w:val="28"/>
        </w:rPr>
      </w:pPr>
      <w:r w:rsidRPr="00447970">
        <w:rPr>
          <w:sz w:val="24"/>
          <w:szCs w:val="28"/>
        </w:rPr>
        <w:t xml:space="preserve">The model considers factors including region, </w:t>
      </w:r>
      <w:r w:rsidRPr="00447970">
        <w:rPr>
          <w:color w:val="000000" w:themeColor="text1"/>
          <w:sz w:val="24"/>
          <w:szCs w:val="28"/>
        </w:rPr>
        <w:t>capacity</w:t>
      </w:r>
      <w:r w:rsidRPr="00447970">
        <w:rPr>
          <w:sz w:val="24"/>
          <w:szCs w:val="28"/>
        </w:rPr>
        <w:t xml:space="preserve"> of house, and the needs of the person.  </w:t>
      </w:r>
    </w:p>
    <w:p w14:paraId="1F0A58CC" w14:textId="29088FFB" w:rsidR="4755D38A" w:rsidRPr="00447970" w:rsidRDefault="4755D38A" w:rsidP="00447970">
      <w:pPr>
        <w:rPr>
          <w:sz w:val="24"/>
          <w:szCs w:val="28"/>
        </w:rPr>
      </w:pPr>
      <w:r w:rsidRPr="00447970">
        <w:rPr>
          <w:sz w:val="24"/>
          <w:szCs w:val="28"/>
        </w:rPr>
        <w:t>It recognises that larger homes can absorb some of the costs associated with the additional people who live in them. If fewer people liv</w:t>
      </w:r>
      <w:r w:rsidR="001D73A0">
        <w:rPr>
          <w:sz w:val="24"/>
          <w:szCs w:val="28"/>
        </w:rPr>
        <w:t xml:space="preserve">e </w:t>
      </w:r>
      <w:r w:rsidRPr="00447970">
        <w:rPr>
          <w:sz w:val="24"/>
          <w:szCs w:val="28"/>
        </w:rPr>
        <w:t xml:space="preserve">in a house, there will be less non-scalable costs. For example, a person who lives alone in a house may have the same level of need as a person living in a </w:t>
      </w:r>
      <w:r w:rsidR="00671846">
        <w:rPr>
          <w:sz w:val="24"/>
          <w:szCs w:val="28"/>
        </w:rPr>
        <w:t>three-</w:t>
      </w:r>
      <w:r w:rsidRPr="00447970">
        <w:rPr>
          <w:sz w:val="24"/>
          <w:szCs w:val="28"/>
        </w:rPr>
        <w:t xml:space="preserve">bedroom house. But the person living alone will have a higher rate.  </w:t>
      </w:r>
    </w:p>
    <w:p w14:paraId="3E974B1B" w14:textId="70825A4E" w:rsidR="4755D38A" w:rsidRPr="00447970" w:rsidRDefault="4755D38A" w:rsidP="00671846">
      <w:pPr>
        <w:rPr>
          <w:sz w:val="24"/>
          <w:szCs w:val="28"/>
        </w:rPr>
      </w:pPr>
      <w:r w:rsidRPr="00447970">
        <w:rPr>
          <w:sz w:val="24"/>
          <w:szCs w:val="28"/>
        </w:rPr>
        <w:t xml:space="preserve">The pricing model considers factors such as house size (the number of bedrooms), but also house capacity (the number of people able to be supported in a particular home). It is no longer based on a core assumption of a </w:t>
      </w:r>
      <w:r w:rsidR="00671846">
        <w:rPr>
          <w:sz w:val="24"/>
          <w:szCs w:val="28"/>
        </w:rPr>
        <w:t>four</w:t>
      </w:r>
      <w:r w:rsidR="002E3805">
        <w:rPr>
          <w:sz w:val="24"/>
          <w:szCs w:val="28"/>
        </w:rPr>
        <w:t>-</w:t>
      </w:r>
      <w:r w:rsidRPr="00447970">
        <w:rPr>
          <w:sz w:val="24"/>
          <w:szCs w:val="28"/>
        </w:rPr>
        <w:t xml:space="preserve">person home. </w:t>
      </w:r>
      <w:r w:rsidR="00671846">
        <w:rPr>
          <w:sz w:val="24"/>
          <w:szCs w:val="28"/>
        </w:rPr>
        <w:t xml:space="preserve">For example, </w:t>
      </w:r>
      <w:r w:rsidRPr="00447970">
        <w:rPr>
          <w:sz w:val="24"/>
          <w:szCs w:val="28"/>
        </w:rPr>
        <w:t xml:space="preserve">the house size may be </w:t>
      </w:r>
      <w:r w:rsidR="002E3805">
        <w:rPr>
          <w:sz w:val="24"/>
          <w:szCs w:val="28"/>
        </w:rPr>
        <w:t>three</w:t>
      </w:r>
      <w:r w:rsidR="002E3805" w:rsidRPr="002E3805" w:rsidDel="002E3805">
        <w:rPr>
          <w:sz w:val="24"/>
          <w:szCs w:val="28"/>
        </w:rPr>
        <w:t xml:space="preserve"> </w:t>
      </w:r>
      <w:r w:rsidRPr="00447970">
        <w:rPr>
          <w:sz w:val="24"/>
          <w:szCs w:val="28"/>
        </w:rPr>
        <w:t xml:space="preserve">bedrooms, but house capacity is </w:t>
      </w:r>
      <w:r w:rsidR="002E3805">
        <w:rPr>
          <w:sz w:val="24"/>
          <w:szCs w:val="28"/>
        </w:rPr>
        <w:t>two</w:t>
      </w:r>
      <w:r w:rsidRPr="00447970">
        <w:rPr>
          <w:sz w:val="24"/>
          <w:szCs w:val="28"/>
        </w:rPr>
        <w:t xml:space="preserve"> because one room is used for sleepover staff. </w:t>
      </w:r>
    </w:p>
    <w:p w14:paraId="0C54ACBB" w14:textId="552C8381" w:rsidR="4755D38A" w:rsidRDefault="4755D38A" w:rsidP="00671846">
      <w:pPr>
        <w:rPr>
          <w:sz w:val="24"/>
          <w:szCs w:val="28"/>
        </w:rPr>
      </w:pPr>
      <w:r w:rsidRPr="00447970">
        <w:rPr>
          <w:sz w:val="24"/>
          <w:szCs w:val="28"/>
        </w:rPr>
        <w:t xml:space="preserve">DSS will be in contact with providers </w:t>
      </w:r>
      <w:r w:rsidR="009E1E21">
        <w:rPr>
          <w:sz w:val="24"/>
          <w:szCs w:val="28"/>
        </w:rPr>
        <w:t>shortly</w:t>
      </w:r>
      <w:r w:rsidRPr="00447970">
        <w:rPr>
          <w:sz w:val="24"/>
          <w:szCs w:val="28"/>
        </w:rPr>
        <w:t xml:space="preserve"> to validate data that we need to finalise the new rates.</w:t>
      </w:r>
    </w:p>
    <w:p w14:paraId="451E9757" w14:textId="77777777" w:rsidR="00447970" w:rsidRPr="00447970" w:rsidRDefault="00447970" w:rsidP="00671846">
      <w:pPr>
        <w:rPr>
          <w:sz w:val="24"/>
          <w:szCs w:val="28"/>
        </w:rPr>
      </w:pPr>
    </w:p>
    <w:p w14:paraId="7EB39FFE" w14:textId="27BDC76D" w:rsidR="4755D38A" w:rsidRDefault="4755D38A" w:rsidP="00447970">
      <w:pPr>
        <w:pStyle w:val="Heading3"/>
      </w:pPr>
      <w:r w:rsidRPr="7908F274">
        <w:t xml:space="preserve">How is a person living alone with 1:1 support </w:t>
      </w:r>
      <w:r w:rsidR="002E3805">
        <w:t>affected by this?</w:t>
      </w:r>
    </w:p>
    <w:p w14:paraId="4C0DC670" w14:textId="5CA69BDA" w:rsidR="4755D38A" w:rsidRPr="00447970" w:rsidRDefault="4755D38A" w:rsidP="002E3805">
      <w:pPr>
        <w:rPr>
          <w:sz w:val="24"/>
          <w:szCs w:val="28"/>
        </w:rPr>
      </w:pPr>
      <w:r w:rsidRPr="00447970">
        <w:rPr>
          <w:sz w:val="24"/>
          <w:szCs w:val="28"/>
        </w:rPr>
        <w:t xml:space="preserve">The new model allows for various arrangements of house size and support ratios. </w:t>
      </w:r>
    </w:p>
    <w:p w14:paraId="47829792" w14:textId="5126B105" w:rsidR="4755D38A" w:rsidRDefault="002E3805" w:rsidP="002E3805">
      <w:pPr>
        <w:rPr>
          <w:sz w:val="24"/>
          <w:szCs w:val="28"/>
        </w:rPr>
      </w:pPr>
      <w:r w:rsidRPr="00447970">
        <w:rPr>
          <w:sz w:val="24"/>
          <w:szCs w:val="28"/>
        </w:rPr>
        <w:t>A</w:t>
      </w:r>
      <w:r w:rsidR="4755D38A" w:rsidRPr="00447970">
        <w:rPr>
          <w:sz w:val="24"/>
          <w:szCs w:val="28"/>
        </w:rPr>
        <w:t xml:space="preserve"> person receiving 1:1 support in a live</w:t>
      </w:r>
      <w:r w:rsidR="00447970">
        <w:rPr>
          <w:sz w:val="24"/>
          <w:szCs w:val="28"/>
        </w:rPr>
        <w:t>-</w:t>
      </w:r>
      <w:r w:rsidR="4755D38A" w:rsidRPr="00447970">
        <w:rPr>
          <w:sz w:val="24"/>
          <w:szCs w:val="28"/>
        </w:rPr>
        <w:t xml:space="preserve">alone setting may be part of the top 5% that requires a bespoke funding arrangement outside of banded rates. </w:t>
      </w:r>
    </w:p>
    <w:p w14:paraId="4EBFFFD4" w14:textId="77777777" w:rsidR="00447970" w:rsidRPr="00447970" w:rsidRDefault="00447970" w:rsidP="002E3805">
      <w:pPr>
        <w:rPr>
          <w:sz w:val="24"/>
          <w:szCs w:val="28"/>
        </w:rPr>
      </w:pPr>
    </w:p>
    <w:p w14:paraId="493AB4B9" w14:textId="126A2EB1" w:rsidR="4755D38A" w:rsidRDefault="4755D38A" w:rsidP="00447970">
      <w:pPr>
        <w:pStyle w:val="Heading3"/>
      </w:pPr>
      <w:r w:rsidRPr="7908F274">
        <w:lastRenderedPageBreak/>
        <w:t xml:space="preserve">How are </w:t>
      </w:r>
      <w:r w:rsidR="002E3805">
        <w:t>v</w:t>
      </w:r>
      <w:r w:rsidRPr="7908F274">
        <w:t>acancies reflected in the tool?</w:t>
      </w:r>
    </w:p>
    <w:p w14:paraId="3631EE5A" w14:textId="75C17C23" w:rsidR="4755D38A" w:rsidRPr="00447970" w:rsidRDefault="4755D38A" w:rsidP="002E3805">
      <w:pPr>
        <w:rPr>
          <w:sz w:val="24"/>
          <w:szCs w:val="28"/>
        </w:rPr>
      </w:pPr>
      <w:r w:rsidRPr="00447970">
        <w:rPr>
          <w:sz w:val="24"/>
          <w:szCs w:val="28"/>
        </w:rPr>
        <w:t xml:space="preserve">A vacancy factor has been built into the pricing, supporting the use of one room – if a provider chooses – to be used for sleepovers </w:t>
      </w:r>
      <w:r w:rsidR="00BD4526">
        <w:rPr>
          <w:sz w:val="24"/>
          <w:szCs w:val="28"/>
        </w:rPr>
        <w:t>or</w:t>
      </w:r>
      <w:r w:rsidRPr="00447970">
        <w:rPr>
          <w:sz w:val="24"/>
          <w:szCs w:val="28"/>
        </w:rPr>
        <w:t xml:space="preserve"> to cater for vacancies in the house. This means that not every room is expected to be occupied all the time, but providers will need to consider the efficient use of houses as part of their business.</w:t>
      </w:r>
    </w:p>
    <w:p w14:paraId="1C89F1CC" w14:textId="735EDA73" w:rsidR="4755D38A" w:rsidRDefault="4755D38A" w:rsidP="002E3805">
      <w:pPr>
        <w:rPr>
          <w:sz w:val="24"/>
          <w:szCs w:val="28"/>
        </w:rPr>
      </w:pPr>
      <w:r w:rsidRPr="00447970">
        <w:rPr>
          <w:sz w:val="24"/>
          <w:szCs w:val="28"/>
        </w:rPr>
        <w:t xml:space="preserve">Because the pricing is based on averages across houses and individuals, providers </w:t>
      </w:r>
      <w:r w:rsidR="00ED5E83" w:rsidRPr="00ED5E83">
        <w:rPr>
          <w:sz w:val="24"/>
          <w:szCs w:val="28"/>
        </w:rPr>
        <w:t>can</w:t>
      </w:r>
      <w:r w:rsidRPr="00447970">
        <w:rPr>
          <w:sz w:val="24"/>
          <w:szCs w:val="28"/>
        </w:rPr>
        <w:t xml:space="preserve"> </w:t>
      </w:r>
      <w:r w:rsidR="002E3805">
        <w:rPr>
          <w:sz w:val="24"/>
          <w:szCs w:val="28"/>
        </w:rPr>
        <w:t>vary</w:t>
      </w:r>
      <w:r w:rsidR="002E3805" w:rsidRPr="00447970">
        <w:rPr>
          <w:sz w:val="24"/>
          <w:szCs w:val="28"/>
        </w:rPr>
        <w:t xml:space="preserve"> </w:t>
      </w:r>
      <w:r w:rsidRPr="00447970">
        <w:rPr>
          <w:sz w:val="24"/>
          <w:szCs w:val="28"/>
        </w:rPr>
        <w:t xml:space="preserve">funding (and vacancies) where needed to manage sustainability. </w:t>
      </w:r>
    </w:p>
    <w:p w14:paraId="6D32B33D" w14:textId="77777777" w:rsidR="00447970" w:rsidRPr="00447970" w:rsidRDefault="00447970" w:rsidP="002E3805">
      <w:pPr>
        <w:rPr>
          <w:sz w:val="24"/>
          <w:szCs w:val="28"/>
        </w:rPr>
      </w:pPr>
    </w:p>
    <w:p w14:paraId="7BA0A205" w14:textId="1134DC00" w:rsidR="002E3805" w:rsidRDefault="002E3805" w:rsidP="002E3805">
      <w:pPr>
        <w:pStyle w:val="Heading3"/>
      </w:pPr>
      <w:r>
        <w:t>How do the new banded rates cater for the changing needs of individuals?</w:t>
      </w:r>
    </w:p>
    <w:p w14:paraId="56DFB788" w14:textId="62545DFB" w:rsidR="4755D38A" w:rsidRPr="00447970" w:rsidRDefault="00ED5E83" w:rsidP="00447970">
      <w:pPr>
        <w:rPr>
          <w:sz w:val="24"/>
          <w:szCs w:val="28"/>
        </w:rPr>
      </w:pPr>
      <w:r>
        <w:rPr>
          <w:sz w:val="24"/>
          <w:szCs w:val="28"/>
        </w:rPr>
        <w:t>We are</w:t>
      </w:r>
      <w:r w:rsidR="4755D38A" w:rsidRPr="00447970">
        <w:rPr>
          <w:sz w:val="24"/>
          <w:szCs w:val="28"/>
        </w:rPr>
        <w:t xml:space="preserve"> moving away from paying a rate which must be spent on supporting an individual. While providers will still be paid for each person they support, they will have more flexibility to use their total funding pool to provide support across the people </w:t>
      </w:r>
      <w:r w:rsidR="002E3805" w:rsidRPr="00447970">
        <w:rPr>
          <w:sz w:val="24"/>
          <w:szCs w:val="28"/>
        </w:rPr>
        <w:t>in their care.</w:t>
      </w:r>
    </w:p>
    <w:p w14:paraId="6D66572B" w14:textId="3B3DA274" w:rsidR="4755D38A" w:rsidRPr="00447970" w:rsidRDefault="4755D38A" w:rsidP="002E3805">
      <w:pPr>
        <w:rPr>
          <w:sz w:val="24"/>
          <w:szCs w:val="28"/>
        </w:rPr>
      </w:pPr>
      <w:r w:rsidRPr="00447970">
        <w:rPr>
          <w:sz w:val="24"/>
          <w:szCs w:val="28"/>
        </w:rPr>
        <w:t xml:space="preserve">The new funding model allows greater flexibility for providers in delivering support and managing changes from within their total residential funding, rather than </w:t>
      </w:r>
      <w:r w:rsidR="00A41537">
        <w:rPr>
          <w:sz w:val="24"/>
          <w:szCs w:val="28"/>
        </w:rPr>
        <w:t>adjusting</w:t>
      </w:r>
      <w:r w:rsidRPr="00447970">
        <w:rPr>
          <w:sz w:val="24"/>
          <w:szCs w:val="28"/>
        </w:rPr>
        <w:t xml:space="preserve"> costs for </w:t>
      </w:r>
      <w:r w:rsidR="00261534" w:rsidRPr="00261534">
        <w:rPr>
          <w:sz w:val="24"/>
          <w:szCs w:val="28"/>
        </w:rPr>
        <w:t>individuals</w:t>
      </w:r>
      <w:r w:rsidRPr="00447970">
        <w:rPr>
          <w:sz w:val="24"/>
          <w:szCs w:val="28"/>
        </w:rPr>
        <w:t xml:space="preserve">. </w:t>
      </w:r>
    </w:p>
    <w:p w14:paraId="0A2B0556" w14:textId="77777777" w:rsidR="4755D38A" w:rsidRDefault="4755D38A" w:rsidP="002E3805">
      <w:pPr>
        <w:rPr>
          <w:sz w:val="24"/>
          <w:szCs w:val="28"/>
        </w:rPr>
      </w:pPr>
      <w:r w:rsidRPr="00447970">
        <w:rPr>
          <w:sz w:val="24"/>
          <w:szCs w:val="28"/>
        </w:rPr>
        <w:t xml:space="preserve">Where a person has had a significant change in support needs, we expect the usual NASC/EGL site review process to occur. </w:t>
      </w:r>
    </w:p>
    <w:p w14:paraId="722E8F38" w14:textId="77777777" w:rsidR="00447970" w:rsidRPr="00447970" w:rsidRDefault="00447970" w:rsidP="002E3805">
      <w:pPr>
        <w:rPr>
          <w:sz w:val="24"/>
          <w:szCs w:val="28"/>
        </w:rPr>
      </w:pPr>
    </w:p>
    <w:p w14:paraId="067D435F" w14:textId="7A807543" w:rsidR="4755D38A" w:rsidRDefault="4755D38A" w:rsidP="00447970">
      <w:pPr>
        <w:pStyle w:val="Heading2"/>
      </w:pPr>
      <w:r>
        <w:t>F</w:t>
      </w:r>
      <w:r w:rsidR="00447970">
        <w:t>unding</w:t>
      </w:r>
    </w:p>
    <w:p w14:paraId="0E8E3502" w14:textId="4C8BBBA3" w:rsidR="4755D38A" w:rsidRDefault="4755D38A" w:rsidP="00447970">
      <w:pPr>
        <w:pStyle w:val="Heading3"/>
      </w:pPr>
      <w:r w:rsidRPr="7908F274">
        <w:t xml:space="preserve">When can providers expect to find out what their new funding will be?  </w:t>
      </w:r>
    </w:p>
    <w:p w14:paraId="3A969A03" w14:textId="2C527F73" w:rsidR="7908F274" w:rsidRDefault="00261534" w:rsidP="7908F274">
      <w:pPr>
        <w:rPr>
          <w:sz w:val="24"/>
          <w:szCs w:val="28"/>
        </w:rPr>
      </w:pPr>
      <w:r>
        <w:rPr>
          <w:sz w:val="24"/>
          <w:szCs w:val="28"/>
        </w:rPr>
        <w:t>We have</w:t>
      </w:r>
      <w:r w:rsidR="4755D38A" w:rsidRPr="00447970">
        <w:rPr>
          <w:sz w:val="24"/>
          <w:szCs w:val="28"/>
        </w:rPr>
        <w:t xml:space="preserve"> </w:t>
      </w:r>
      <w:r w:rsidR="002E3805" w:rsidRPr="00447970">
        <w:rPr>
          <w:sz w:val="24"/>
          <w:szCs w:val="28"/>
        </w:rPr>
        <w:t>estimated</w:t>
      </w:r>
      <w:r w:rsidR="4755D38A" w:rsidRPr="00447970">
        <w:rPr>
          <w:sz w:val="24"/>
          <w:szCs w:val="28"/>
        </w:rPr>
        <w:t xml:space="preserve"> the financial impact from implementation of the new model.  Providers </w:t>
      </w:r>
      <w:r w:rsidR="00CC422B" w:rsidRPr="00447970">
        <w:rPr>
          <w:sz w:val="24"/>
          <w:szCs w:val="28"/>
        </w:rPr>
        <w:t xml:space="preserve">have </w:t>
      </w:r>
      <w:r w:rsidR="4755D38A" w:rsidRPr="00447970">
        <w:rPr>
          <w:sz w:val="24"/>
          <w:szCs w:val="28"/>
        </w:rPr>
        <w:t>receive</w:t>
      </w:r>
      <w:r w:rsidR="00CC422B" w:rsidRPr="00447970">
        <w:rPr>
          <w:sz w:val="24"/>
          <w:szCs w:val="28"/>
        </w:rPr>
        <w:t>d</w:t>
      </w:r>
      <w:r w:rsidR="4755D38A" w:rsidRPr="00447970">
        <w:rPr>
          <w:sz w:val="24"/>
          <w:szCs w:val="28"/>
        </w:rPr>
        <w:t xml:space="preserve"> a letter </w:t>
      </w:r>
      <w:r w:rsidR="00CC422B" w:rsidRPr="00447970">
        <w:rPr>
          <w:sz w:val="24"/>
          <w:szCs w:val="28"/>
        </w:rPr>
        <w:t xml:space="preserve">explaining </w:t>
      </w:r>
      <w:r w:rsidR="193B2BFB" w:rsidRPr="00447970">
        <w:rPr>
          <w:sz w:val="24"/>
          <w:szCs w:val="28"/>
        </w:rPr>
        <w:t xml:space="preserve">this expected </w:t>
      </w:r>
      <w:r w:rsidR="4755D38A" w:rsidRPr="00447970">
        <w:rPr>
          <w:sz w:val="24"/>
          <w:szCs w:val="28"/>
        </w:rPr>
        <w:t>change, subject to a validation process that will be used to confirm the underlying information and bands.</w:t>
      </w:r>
      <w:r w:rsidR="002640D4">
        <w:rPr>
          <w:sz w:val="24"/>
          <w:szCs w:val="28"/>
        </w:rPr>
        <w:t xml:space="preserve"> </w:t>
      </w:r>
      <w:r w:rsidR="00CE39B9">
        <w:rPr>
          <w:sz w:val="24"/>
          <w:szCs w:val="28"/>
        </w:rPr>
        <w:t>We anticipate being able to confirm final funding levels after the validation proces</w:t>
      </w:r>
      <w:r w:rsidR="00901775">
        <w:rPr>
          <w:sz w:val="24"/>
          <w:szCs w:val="28"/>
        </w:rPr>
        <w:t xml:space="preserve">s likely by September 2025. </w:t>
      </w:r>
    </w:p>
    <w:p w14:paraId="2E5BA3B1" w14:textId="77777777" w:rsidR="00447970" w:rsidRDefault="00447970" w:rsidP="7908F274">
      <w:pPr>
        <w:rPr>
          <w:rFonts w:eastAsia="Verdana" w:cs="Verdana"/>
          <w:b/>
          <w:bCs/>
          <w:sz w:val="24"/>
          <w:szCs w:val="24"/>
        </w:rPr>
      </w:pPr>
    </w:p>
    <w:p w14:paraId="70F4504C" w14:textId="0A431760" w:rsidR="4755D38A" w:rsidRDefault="002E3805" w:rsidP="00447970">
      <w:pPr>
        <w:pStyle w:val="Heading3"/>
      </w:pPr>
      <w:r>
        <w:t>Will there</w:t>
      </w:r>
      <w:r w:rsidR="4755D38A" w:rsidRPr="7908F274">
        <w:t xml:space="preserve"> be price changes </w:t>
      </w:r>
      <w:r w:rsidR="00096A2F">
        <w:t>before</w:t>
      </w:r>
      <w:r w:rsidR="00096A2F" w:rsidRPr="7908F274">
        <w:t xml:space="preserve"> </w:t>
      </w:r>
      <w:r w:rsidR="4755D38A" w:rsidRPr="7908F274">
        <w:t>December 2025?</w:t>
      </w:r>
    </w:p>
    <w:p w14:paraId="38F610D7" w14:textId="26D65CC0" w:rsidR="4755D38A" w:rsidRPr="00447970" w:rsidRDefault="4755D38A" w:rsidP="002E3805">
      <w:pPr>
        <w:rPr>
          <w:sz w:val="24"/>
          <w:szCs w:val="28"/>
        </w:rPr>
      </w:pPr>
      <w:r w:rsidRPr="00447970">
        <w:rPr>
          <w:sz w:val="24"/>
          <w:szCs w:val="28"/>
        </w:rPr>
        <w:lastRenderedPageBreak/>
        <w:t xml:space="preserve">For the period 1 July to 30 November 2025, providers will be funded through current funding streams and mechanisms including: </w:t>
      </w:r>
    </w:p>
    <w:p w14:paraId="6B6FE45A" w14:textId="0CA39293" w:rsidR="4755D38A" w:rsidRPr="00447970" w:rsidRDefault="4755D38A" w:rsidP="00447970">
      <w:pPr>
        <w:pStyle w:val="ListParagraph"/>
        <w:numPr>
          <w:ilvl w:val="0"/>
          <w:numId w:val="37"/>
        </w:numPr>
        <w:rPr>
          <w:sz w:val="24"/>
          <w:szCs w:val="28"/>
        </w:rPr>
      </w:pPr>
      <w:r w:rsidRPr="00447970">
        <w:rPr>
          <w:sz w:val="24"/>
          <w:szCs w:val="28"/>
        </w:rPr>
        <w:t>Existing bed day rates</w:t>
      </w:r>
      <w:r w:rsidR="00447970">
        <w:rPr>
          <w:sz w:val="24"/>
          <w:szCs w:val="28"/>
        </w:rPr>
        <w:t>,</w:t>
      </w:r>
    </w:p>
    <w:p w14:paraId="7C846CB1" w14:textId="7A3AB9A3" w:rsidR="4755D38A" w:rsidRPr="00447970" w:rsidRDefault="4755D38A" w:rsidP="00447970">
      <w:pPr>
        <w:pStyle w:val="ListParagraph"/>
        <w:numPr>
          <w:ilvl w:val="0"/>
          <w:numId w:val="37"/>
        </w:numPr>
        <w:rPr>
          <w:sz w:val="24"/>
          <w:szCs w:val="28"/>
        </w:rPr>
      </w:pPr>
      <w:r w:rsidRPr="00447970">
        <w:rPr>
          <w:sz w:val="24"/>
          <w:szCs w:val="28"/>
        </w:rPr>
        <w:t>Advanced Interim Payment (AIP) top up for pay equity</w:t>
      </w:r>
      <w:r w:rsidR="00447970">
        <w:rPr>
          <w:sz w:val="24"/>
          <w:szCs w:val="28"/>
        </w:rPr>
        <w:t>,</w:t>
      </w:r>
    </w:p>
    <w:p w14:paraId="1508F97D" w14:textId="39F090CF" w:rsidR="4755D38A" w:rsidRPr="00447970" w:rsidRDefault="4755D38A" w:rsidP="00447970">
      <w:pPr>
        <w:pStyle w:val="ListParagraph"/>
        <w:numPr>
          <w:ilvl w:val="0"/>
          <w:numId w:val="37"/>
        </w:numPr>
        <w:rPr>
          <w:sz w:val="24"/>
          <w:szCs w:val="28"/>
        </w:rPr>
      </w:pPr>
      <w:r w:rsidRPr="00447970">
        <w:rPr>
          <w:sz w:val="24"/>
          <w:szCs w:val="28"/>
        </w:rPr>
        <w:t>Sleepover top up</w:t>
      </w:r>
      <w:r w:rsidR="00447970">
        <w:rPr>
          <w:sz w:val="24"/>
          <w:szCs w:val="28"/>
        </w:rPr>
        <w:t>,</w:t>
      </w:r>
    </w:p>
    <w:p w14:paraId="517EAF30" w14:textId="52437B0D" w:rsidR="4755D38A" w:rsidRPr="00447970" w:rsidRDefault="4755D38A" w:rsidP="00447970">
      <w:pPr>
        <w:pStyle w:val="ListParagraph"/>
        <w:numPr>
          <w:ilvl w:val="0"/>
          <w:numId w:val="37"/>
        </w:numPr>
        <w:rPr>
          <w:sz w:val="24"/>
          <w:szCs w:val="28"/>
        </w:rPr>
      </w:pPr>
      <w:r w:rsidRPr="00447970">
        <w:rPr>
          <w:sz w:val="24"/>
          <w:szCs w:val="28"/>
        </w:rPr>
        <w:t>Day Activity Contribution (DAC) allocations</w:t>
      </w:r>
      <w:r w:rsidR="00447970">
        <w:rPr>
          <w:sz w:val="24"/>
          <w:szCs w:val="28"/>
        </w:rPr>
        <w:t>, and</w:t>
      </w:r>
    </w:p>
    <w:p w14:paraId="6407DD3D" w14:textId="01D47067" w:rsidR="4755D38A" w:rsidRPr="00447970" w:rsidRDefault="4755D38A" w:rsidP="00447970">
      <w:pPr>
        <w:pStyle w:val="ListParagraph"/>
        <w:numPr>
          <w:ilvl w:val="0"/>
          <w:numId w:val="37"/>
        </w:numPr>
        <w:rPr>
          <w:sz w:val="24"/>
          <w:szCs w:val="28"/>
        </w:rPr>
      </w:pPr>
      <w:r w:rsidRPr="00447970">
        <w:rPr>
          <w:sz w:val="24"/>
          <w:szCs w:val="28"/>
        </w:rPr>
        <w:t>Client contributions (no change to inclusive or exclusive status</w:t>
      </w:r>
      <w:r w:rsidR="00447970">
        <w:rPr>
          <w:sz w:val="24"/>
          <w:szCs w:val="28"/>
        </w:rPr>
        <w:t>)</w:t>
      </w:r>
      <w:r w:rsidRPr="00447970">
        <w:rPr>
          <w:sz w:val="24"/>
          <w:szCs w:val="28"/>
        </w:rPr>
        <w:t>.</w:t>
      </w:r>
    </w:p>
    <w:p w14:paraId="43831AFA" w14:textId="3E92FA99" w:rsidR="4755D38A" w:rsidRPr="00447970" w:rsidRDefault="4755D38A" w:rsidP="002E3805">
      <w:pPr>
        <w:rPr>
          <w:sz w:val="24"/>
          <w:szCs w:val="28"/>
        </w:rPr>
      </w:pPr>
      <w:r w:rsidRPr="00447970">
        <w:rPr>
          <w:sz w:val="24"/>
          <w:szCs w:val="28"/>
        </w:rPr>
        <w:t xml:space="preserve">Where providers are estimated to receive an increase in funding under the new model, DSS will make a one-off Advanced Payment in July based on the estimated increase to funding across the period. </w:t>
      </w:r>
    </w:p>
    <w:p w14:paraId="5096B807" w14:textId="17693E9F" w:rsidR="4755D38A" w:rsidRPr="00447970" w:rsidRDefault="4755D38A" w:rsidP="002E3805">
      <w:pPr>
        <w:rPr>
          <w:sz w:val="24"/>
          <w:szCs w:val="28"/>
        </w:rPr>
      </w:pPr>
      <w:r w:rsidRPr="00447970">
        <w:rPr>
          <w:sz w:val="24"/>
          <w:szCs w:val="28"/>
        </w:rPr>
        <w:t xml:space="preserve">Providers can expect to receive a letter confirming this detail soon. </w:t>
      </w:r>
    </w:p>
    <w:p w14:paraId="5C8EBF92" w14:textId="3A9247B6" w:rsidR="4755D38A" w:rsidRDefault="4755D38A" w:rsidP="002E3805">
      <w:pPr>
        <w:rPr>
          <w:sz w:val="24"/>
          <w:szCs w:val="28"/>
        </w:rPr>
      </w:pPr>
      <w:r w:rsidRPr="00447970">
        <w:rPr>
          <w:sz w:val="24"/>
          <w:szCs w:val="28"/>
        </w:rPr>
        <w:t xml:space="preserve">From 1 December, once a provider has been awarded a panel agreement, the people you support will be </w:t>
      </w:r>
      <w:r w:rsidR="00E67E2B">
        <w:rPr>
          <w:sz w:val="24"/>
          <w:szCs w:val="28"/>
        </w:rPr>
        <w:t>shifted</w:t>
      </w:r>
      <w:r w:rsidR="00E67E2B" w:rsidRPr="00447970">
        <w:rPr>
          <w:sz w:val="24"/>
          <w:szCs w:val="28"/>
        </w:rPr>
        <w:t xml:space="preserve"> </w:t>
      </w:r>
      <w:r w:rsidRPr="00447970">
        <w:rPr>
          <w:sz w:val="24"/>
          <w:szCs w:val="28"/>
        </w:rPr>
        <w:t xml:space="preserve">to the appropriate new inclusive pricing which will incorporate </w:t>
      </w:r>
      <w:proofErr w:type="gramStart"/>
      <w:r w:rsidRPr="00447970">
        <w:rPr>
          <w:sz w:val="24"/>
          <w:szCs w:val="28"/>
        </w:rPr>
        <w:t>all of</w:t>
      </w:r>
      <w:proofErr w:type="gramEnd"/>
      <w:r w:rsidRPr="00447970">
        <w:rPr>
          <w:sz w:val="24"/>
          <w:szCs w:val="28"/>
        </w:rPr>
        <w:t xml:space="preserve"> those funding streams. These new rates will be reflected in the panel agreement.</w:t>
      </w:r>
    </w:p>
    <w:p w14:paraId="76573F3A" w14:textId="77777777" w:rsidR="00447970" w:rsidRPr="00447970" w:rsidRDefault="00447970" w:rsidP="002E3805">
      <w:pPr>
        <w:rPr>
          <w:sz w:val="24"/>
          <w:szCs w:val="28"/>
        </w:rPr>
      </w:pPr>
    </w:p>
    <w:p w14:paraId="11EFF18A" w14:textId="5FAF612D" w:rsidR="4755D38A" w:rsidRDefault="4755D38A" w:rsidP="00447970">
      <w:pPr>
        <w:pStyle w:val="Heading3"/>
      </w:pPr>
      <w:r w:rsidRPr="7908F274">
        <w:t>When will information be made available about assumptions made for transition period for each person?</w:t>
      </w:r>
    </w:p>
    <w:p w14:paraId="3D12022A" w14:textId="3B2C4C1B" w:rsidR="4755D38A" w:rsidRPr="00447970" w:rsidRDefault="4755D38A" w:rsidP="00E67E2B">
      <w:pPr>
        <w:rPr>
          <w:sz w:val="24"/>
          <w:szCs w:val="28"/>
        </w:rPr>
      </w:pPr>
      <w:r w:rsidRPr="00447970">
        <w:rPr>
          <w:sz w:val="24"/>
          <w:szCs w:val="28"/>
        </w:rPr>
        <w:t xml:space="preserve">Providers </w:t>
      </w:r>
      <w:r w:rsidR="00A70B35" w:rsidRPr="00447970">
        <w:rPr>
          <w:sz w:val="24"/>
          <w:szCs w:val="28"/>
        </w:rPr>
        <w:t>have been sent a letter outlining the</w:t>
      </w:r>
      <w:r w:rsidRPr="00447970">
        <w:rPr>
          <w:sz w:val="24"/>
          <w:szCs w:val="28"/>
        </w:rPr>
        <w:t xml:space="preserve"> overall estimated financial impact for their organisation. </w:t>
      </w:r>
    </w:p>
    <w:p w14:paraId="76E9E696" w14:textId="73013022" w:rsidR="4755D38A" w:rsidRDefault="00C141DD" w:rsidP="00E67E2B">
      <w:pPr>
        <w:rPr>
          <w:sz w:val="24"/>
          <w:szCs w:val="28"/>
        </w:rPr>
      </w:pPr>
      <w:r>
        <w:rPr>
          <w:sz w:val="24"/>
          <w:szCs w:val="28"/>
        </w:rPr>
        <w:t xml:space="preserve">DSS has been in </w:t>
      </w:r>
      <w:r w:rsidR="4755D38A" w:rsidRPr="00447970">
        <w:rPr>
          <w:sz w:val="24"/>
          <w:szCs w:val="28"/>
        </w:rPr>
        <w:t xml:space="preserve">contact with providers to validate data that we need to finalise new rates. Providers will be advised of finalised rates for the people they support following this validation. </w:t>
      </w:r>
    </w:p>
    <w:p w14:paraId="7E593DB9" w14:textId="77777777" w:rsidR="00447970" w:rsidRPr="00447970" w:rsidRDefault="00447970" w:rsidP="00E67E2B">
      <w:pPr>
        <w:rPr>
          <w:sz w:val="24"/>
          <w:szCs w:val="28"/>
        </w:rPr>
      </w:pPr>
    </w:p>
    <w:p w14:paraId="615289B8" w14:textId="55DB0FAF" w:rsidR="4755D38A" w:rsidRDefault="4755D38A" w:rsidP="00447970">
      <w:pPr>
        <w:pStyle w:val="Heading3"/>
      </w:pPr>
      <w:r w:rsidRPr="7908F274">
        <w:t>Will the timing for transition payments be covered in the information to come?</w:t>
      </w:r>
    </w:p>
    <w:p w14:paraId="0C030415" w14:textId="5FF37D25" w:rsidR="4755D38A" w:rsidRDefault="7BAD6047" w:rsidP="5AC8AD5F">
      <w:pPr>
        <w:rPr>
          <w:rFonts w:eastAsia="Verdana" w:cs="Verdana"/>
          <w:sz w:val="24"/>
          <w:szCs w:val="24"/>
        </w:rPr>
      </w:pPr>
      <w:r w:rsidRPr="7908F274">
        <w:rPr>
          <w:rFonts w:eastAsia="Verdana" w:cs="Verdana"/>
          <w:sz w:val="24"/>
          <w:szCs w:val="24"/>
        </w:rPr>
        <w:t>Yes.</w:t>
      </w:r>
    </w:p>
    <w:p w14:paraId="1DC5447A" w14:textId="77777777" w:rsidR="00447970" w:rsidRDefault="00447970" w:rsidP="5AC8AD5F"/>
    <w:p w14:paraId="4E0462CE" w14:textId="11C8B00A" w:rsidR="4755D38A" w:rsidRDefault="4755D38A" w:rsidP="00447970">
      <w:pPr>
        <w:pStyle w:val="Heading3"/>
      </w:pPr>
      <w:r w:rsidRPr="7908F274">
        <w:t>Will the new prices be backdated to 1 July 2025 or 1 December 2025?</w:t>
      </w:r>
    </w:p>
    <w:p w14:paraId="251535B9" w14:textId="38AF0297" w:rsidR="4755D38A" w:rsidRDefault="4755D38A" w:rsidP="5AC8AD5F">
      <w:pPr>
        <w:rPr>
          <w:sz w:val="24"/>
          <w:szCs w:val="28"/>
        </w:rPr>
      </w:pPr>
      <w:r w:rsidRPr="00447970">
        <w:rPr>
          <w:sz w:val="24"/>
          <w:szCs w:val="28"/>
        </w:rPr>
        <w:t>Where providers are estimated to receive an increase in funding under the new model, DSS will make a one-off advanced payment in July</w:t>
      </w:r>
      <w:r w:rsidR="00CA23C0">
        <w:rPr>
          <w:sz w:val="24"/>
          <w:szCs w:val="28"/>
        </w:rPr>
        <w:t xml:space="preserve"> 2025</w:t>
      </w:r>
      <w:r w:rsidRPr="00447970">
        <w:rPr>
          <w:sz w:val="24"/>
          <w:szCs w:val="28"/>
        </w:rPr>
        <w:t xml:space="preserve"> </w:t>
      </w:r>
      <w:r w:rsidRPr="00447970">
        <w:rPr>
          <w:sz w:val="24"/>
          <w:szCs w:val="28"/>
        </w:rPr>
        <w:lastRenderedPageBreak/>
        <w:t xml:space="preserve">based on the estimated increase to funding across the period. This may not exactly reflect the price increase, following data validation. </w:t>
      </w:r>
    </w:p>
    <w:p w14:paraId="505CF8E8" w14:textId="77777777" w:rsidR="00447970" w:rsidRDefault="00447970" w:rsidP="5AC8AD5F"/>
    <w:p w14:paraId="62C12D5F" w14:textId="0633FAFA" w:rsidR="4755D38A" w:rsidRDefault="00447970" w:rsidP="00447970">
      <w:pPr>
        <w:pStyle w:val="Heading2"/>
      </w:pPr>
      <w:r>
        <w:t xml:space="preserve">Pay equity and </w:t>
      </w:r>
      <w:proofErr w:type="gramStart"/>
      <w:r>
        <w:t>sleepovers</w:t>
      </w:r>
      <w:proofErr w:type="gramEnd"/>
    </w:p>
    <w:p w14:paraId="67B52BCF" w14:textId="74BD7FAD" w:rsidR="4755D38A" w:rsidRDefault="4755D38A" w:rsidP="00447970">
      <w:pPr>
        <w:pStyle w:val="Heading3"/>
      </w:pPr>
      <w:r w:rsidRPr="5AC8AD5F">
        <w:t xml:space="preserve">Will </w:t>
      </w:r>
      <w:r w:rsidR="00E67E2B">
        <w:t>s</w:t>
      </w:r>
      <w:r w:rsidRPr="5AC8AD5F">
        <w:t xml:space="preserve">leepover arrangements continue to be funded? </w:t>
      </w:r>
    </w:p>
    <w:p w14:paraId="1BB104E2" w14:textId="10C70AA5" w:rsidR="4755D38A" w:rsidRPr="00447970" w:rsidRDefault="4755D38A" w:rsidP="00A01EE4">
      <w:pPr>
        <w:rPr>
          <w:sz w:val="24"/>
          <w:szCs w:val="28"/>
        </w:rPr>
      </w:pPr>
      <w:r w:rsidRPr="00447970">
        <w:rPr>
          <w:sz w:val="24"/>
          <w:szCs w:val="28"/>
        </w:rPr>
        <w:t xml:space="preserve">As part of tidying up funding arrangements for residential care, </w:t>
      </w:r>
      <w:r w:rsidR="00E67E2B" w:rsidRPr="00447970">
        <w:rPr>
          <w:sz w:val="24"/>
          <w:szCs w:val="28"/>
        </w:rPr>
        <w:t xml:space="preserve">we intend </w:t>
      </w:r>
      <w:r w:rsidRPr="00447970">
        <w:rPr>
          <w:sz w:val="24"/>
          <w:szCs w:val="28"/>
        </w:rPr>
        <w:t xml:space="preserve">to move to an all-inclusive rate. This means the </w:t>
      </w:r>
      <w:r w:rsidR="00E67E2B" w:rsidRPr="00447970">
        <w:rPr>
          <w:sz w:val="24"/>
          <w:szCs w:val="28"/>
        </w:rPr>
        <w:t>s</w:t>
      </w:r>
      <w:r w:rsidRPr="00447970">
        <w:rPr>
          <w:sz w:val="24"/>
          <w:szCs w:val="28"/>
        </w:rPr>
        <w:t xml:space="preserve">leepover funding, which is generally funded separately to rates, will be rolled into the rates paid for residential care in Community Group Homes.  </w:t>
      </w:r>
    </w:p>
    <w:p w14:paraId="15757874" w14:textId="1A94ED28" w:rsidR="4755D38A" w:rsidRPr="00447970" w:rsidRDefault="4755D38A" w:rsidP="00A01EE4">
      <w:pPr>
        <w:rPr>
          <w:sz w:val="24"/>
          <w:szCs w:val="28"/>
        </w:rPr>
      </w:pPr>
      <w:r w:rsidRPr="00447970">
        <w:rPr>
          <w:sz w:val="24"/>
          <w:szCs w:val="28"/>
        </w:rPr>
        <w:t xml:space="preserve">The rates will include an assumption that every house is funded for a </w:t>
      </w:r>
      <w:r w:rsidR="00E67E2B" w:rsidRPr="00447970">
        <w:rPr>
          <w:sz w:val="24"/>
          <w:szCs w:val="28"/>
        </w:rPr>
        <w:t>s</w:t>
      </w:r>
      <w:r w:rsidRPr="00447970">
        <w:rPr>
          <w:sz w:val="24"/>
          <w:szCs w:val="28"/>
        </w:rPr>
        <w:t xml:space="preserve">leepover. Moving the funding into the rates will make the funding paid for an individual’s support more transparent to all parties involved. </w:t>
      </w:r>
    </w:p>
    <w:p w14:paraId="25CCBB43" w14:textId="5E5AE48E" w:rsidR="7908F274" w:rsidRDefault="4755D38A" w:rsidP="7908F274">
      <w:pPr>
        <w:rPr>
          <w:sz w:val="24"/>
          <w:szCs w:val="28"/>
        </w:rPr>
      </w:pPr>
      <w:r w:rsidRPr="00447970">
        <w:rPr>
          <w:sz w:val="24"/>
          <w:szCs w:val="28"/>
        </w:rPr>
        <w:t>The pricing model</w:t>
      </w:r>
      <w:r w:rsidR="00A01EE4" w:rsidRPr="00447970">
        <w:rPr>
          <w:sz w:val="24"/>
          <w:szCs w:val="28"/>
        </w:rPr>
        <w:t>’s</w:t>
      </w:r>
      <w:r w:rsidRPr="00447970">
        <w:rPr>
          <w:sz w:val="24"/>
          <w:szCs w:val="28"/>
        </w:rPr>
        <w:t xml:space="preserve"> sleepover hourly rate is based on a support worker pay rate and not the minimum wage. This means that prices will not change in response to the annual increase in the minimum wage. Providers remain responsible for setting remuneration for their employees.  </w:t>
      </w:r>
    </w:p>
    <w:p w14:paraId="34F6B03D" w14:textId="77777777" w:rsidR="009A4D9D" w:rsidRDefault="009A4D9D" w:rsidP="7908F274">
      <w:pPr>
        <w:rPr>
          <w:rFonts w:eastAsia="Verdana" w:cs="Verdana"/>
          <w:b/>
          <w:bCs/>
          <w:color w:val="000000" w:themeColor="text1"/>
          <w:sz w:val="24"/>
          <w:szCs w:val="24"/>
        </w:rPr>
      </w:pPr>
    </w:p>
    <w:p w14:paraId="793CB911" w14:textId="0B6FCF0A" w:rsidR="4755D38A" w:rsidRDefault="4755D38A" w:rsidP="00447970">
      <w:pPr>
        <w:pStyle w:val="Heading3"/>
      </w:pPr>
      <w:r w:rsidRPr="5AC8AD5F">
        <w:t xml:space="preserve">If someone requires an awake staff at night, will this change the rate?  </w:t>
      </w:r>
    </w:p>
    <w:p w14:paraId="6B218B08" w14:textId="6BD997C8" w:rsidR="4755D38A" w:rsidRPr="00447970" w:rsidRDefault="4755D38A" w:rsidP="00A01EE4">
      <w:pPr>
        <w:rPr>
          <w:sz w:val="24"/>
          <w:szCs w:val="28"/>
        </w:rPr>
      </w:pPr>
      <w:r w:rsidRPr="00447970">
        <w:rPr>
          <w:sz w:val="24"/>
          <w:szCs w:val="28"/>
        </w:rPr>
        <w:t xml:space="preserve">The pricing model allows for a </w:t>
      </w:r>
      <w:proofErr w:type="spellStart"/>
      <w:r w:rsidRPr="00447970">
        <w:rPr>
          <w:sz w:val="24"/>
          <w:szCs w:val="28"/>
        </w:rPr>
        <w:t>wakeover</w:t>
      </w:r>
      <w:proofErr w:type="spellEnd"/>
      <w:r w:rsidRPr="00447970">
        <w:rPr>
          <w:sz w:val="24"/>
          <w:szCs w:val="28"/>
        </w:rPr>
        <w:t xml:space="preserve"> shift at every home – so if a person within a home </w:t>
      </w:r>
      <w:r w:rsidR="00787FA5">
        <w:rPr>
          <w:sz w:val="24"/>
          <w:szCs w:val="28"/>
        </w:rPr>
        <w:t>is</w:t>
      </w:r>
      <w:r w:rsidR="00787FA5" w:rsidRPr="00447970">
        <w:rPr>
          <w:sz w:val="24"/>
          <w:szCs w:val="28"/>
        </w:rPr>
        <w:t xml:space="preserve"> </w:t>
      </w:r>
      <w:r w:rsidRPr="00447970">
        <w:rPr>
          <w:sz w:val="24"/>
          <w:szCs w:val="28"/>
        </w:rPr>
        <w:t xml:space="preserve">assessed as requiring awake support overnight, this won’t require a change in rate.  </w:t>
      </w:r>
    </w:p>
    <w:p w14:paraId="2B2DEA00" w14:textId="021DA06B" w:rsidR="7908F274" w:rsidRDefault="4755D38A" w:rsidP="7908F274">
      <w:pPr>
        <w:rPr>
          <w:sz w:val="24"/>
          <w:szCs w:val="28"/>
        </w:rPr>
      </w:pPr>
      <w:r w:rsidRPr="00447970">
        <w:rPr>
          <w:sz w:val="24"/>
          <w:szCs w:val="28"/>
        </w:rPr>
        <w:t>If people require a high level of support (including support overnight)</w:t>
      </w:r>
      <w:r w:rsidR="009A4D9D">
        <w:rPr>
          <w:sz w:val="24"/>
          <w:szCs w:val="28"/>
        </w:rPr>
        <w:t>,</w:t>
      </w:r>
      <w:r w:rsidRPr="00447970">
        <w:rPr>
          <w:sz w:val="24"/>
          <w:szCs w:val="28"/>
        </w:rPr>
        <w:t xml:space="preserve"> we </w:t>
      </w:r>
      <w:r w:rsidR="009A4D9D" w:rsidRPr="00447970">
        <w:rPr>
          <w:sz w:val="24"/>
          <w:szCs w:val="28"/>
        </w:rPr>
        <w:t>expect</w:t>
      </w:r>
      <w:r w:rsidRPr="00447970">
        <w:rPr>
          <w:sz w:val="24"/>
          <w:szCs w:val="28"/>
        </w:rPr>
        <w:t xml:space="preserve"> them to be funded at a higher band</w:t>
      </w:r>
      <w:r w:rsidR="003855AC">
        <w:rPr>
          <w:sz w:val="24"/>
          <w:szCs w:val="28"/>
        </w:rPr>
        <w:t>,</w:t>
      </w:r>
      <w:r w:rsidRPr="00447970">
        <w:rPr>
          <w:sz w:val="24"/>
          <w:szCs w:val="28"/>
        </w:rPr>
        <w:t xml:space="preserve"> or exceptional </w:t>
      </w:r>
      <w:r w:rsidR="009A4D9D" w:rsidRPr="00447970">
        <w:rPr>
          <w:sz w:val="24"/>
          <w:szCs w:val="28"/>
        </w:rPr>
        <w:t>rate</w:t>
      </w:r>
      <w:r w:rsidR="009A4D9D">
        <w:rPr>
          <w:sz w:val="24"/>
          <w:szCs w:val="28"/>
        </w:rPr>
        <w:t>,</w:t>
      </w:r>
      <w:r w:rsidRPr="00447970">
        <w:rPr>
          <w:sz w:val="24"/>
          <w:szCs w:val="28"/>
        </w:rPr>
        <w:t xml:space="preserve"> which has a generous labour component</w:t>
      </w:r>
      <w:r w:rsidR="00A01EE4">
        <w:rPr>
          <w:sz w:val="24"/>
          <w:szCs w:val="28"/>
        </w:rPr>
        <w:t>. This would be whether that support was d</w:t>
      </w:r>
      <w:r w:rsidRPr="00447970">
        <w:rPr>
          <w:sz w:val="24"/>
          <w:szCs w:val="28"/>
        </w:rPr>
        <w:t xml:space="preserve">uring the day or overnight. </w:t>
      </w:r>
    </w:p>
    <w:p w14:paraId="38EBA3DE" w14:textId="77777777" w:rsidR="009A4D9D" w:rsidRDefault="009A4D9D" w:rsidP="7908F274">
      <w:pPr>
        <w:rPr>
          <w:rFonts w:eastAsia="Verdana" w:cs="Verdana"/>
          <w:b/>
          <w:bCs/>
          <w:sz w:val="24"/>
          <w:szCs w:val="24"/>
        </w:rPr>
      </w:pPr>
    </w:p>
    <w:p w14:paraId="4B5D37E7" w14:textId="77777777" w:rsidR="00A01EE4" w:rsidRDefault="00A01EE4" w:rsidP="00A01EE4">
      <w:pPr>
        <w:pStyle w:val="Heading3"/>
      </w:pPr>
      <w:r>
        <w:t>What is included in the banded rates?</w:t>
      </w:r>
    </w:p>
    <w:p w14:paraId="266A2BB1" w14:textId="0EFA424D" w:rsidR="4755D38A" w:rsidRPr="00447970" w:rsidRDefault="00A01EE4" w:rsidP="00A01EE4">
      <w:pPr>
        <w:rPr>
          <w:sz w:val="24"/>
          <w:szCs w:val="28"/>
        </w:rPr>
      </w:pPr>
      <w:r w:rsidRPr="00447970">
        <w:rPr>
          <w:sz w:val="24"/>
          <w:szCs w:val="28"/>
        </w:rPr>
        <w:t xml:space="preserve">The </w:t>
      </w:r>
      <w:r w:rsidR="4755D38A" w:rsidRPr="00447970">
        <w:rPr>
          <w:sz w:val="24"/>
          <w:szCs w:val="28"/>
        </w:rPr>
        <w:t xml:space="preserve">new rates will be inclusive of </w:t>
      </w:r>
      <w:r w:rsidR="001D4DF4">
        <w:rPr>
          <w:sz w:val="24"/>
          <w:szCs w:val="28"/>
        </w:rPr>
        <w:t>Advanced Interim Payments (</w:t>
      </w:r>
      <w:r w:rsidR="4755D38A" w:rsidRPr="00447970">
        <w:rPr>
          <w:sz w:val="24"/>
          <w:szCs w:val="28"/>
        </w:rPr>
        <w:t>AIP</w:t>
      </w:r>
      <w:r w:rsidR="001D4DF4">
        <w:rPr>
          <w:sz w:val="24"/>
          <w:szCs w:val="28"/>
        </w:rPr>
        <w:t>)</w:t>
      </w:r>
      <w:r w:rsidRPr="00447970">
        <w:rPr>
          <w:sz w:val="24"/>
          <w:szCs w:val="28"/>
        </w:rPr>
        <w:t xml:space="preserve"> </w:t>
      </w:r>
      <w:r w:rsidR="4755D38A" w:rsidRPr="00447970">
        <w:rPr>
          <w:sz w:val="24"/>
          <w:szCs w:val="28"/>
        </w:rPr>
        <w:t xml:space="preserve">and sleepover funding. All providers will move to client contribution inclusive rates, so this amount will be included in the banded rates and deducted at the time of payment. </w:t>
      </w:r>
    </w:p>
    <w:p w14:paraId="79654EAF" w14:textId="2297BBC4" w:rsidR="4755D38A" w:rsidRDefault="4755D38A" w:rsidP="00A01EE4">
      <w:pPr>
        <w:rPr>
          <w:sz w:val="24"/>
          <w:szCs w:val="28"/>
        </w:rPr>
      </w:pPr>
      <w:r w:rsidRPr="526E002D">
        <w:rPr>
          <w:sz w:val="24"/>
          <w:szCs w:val="24"/>
        </w:rPr>
        <w:lastRenderedPageBreak/>
        <w:t>Overheads are assumed to cover compliance costs.</w:t>
      </w:r>
    </w:p>
    <w:p w14:paraId="757FEC27" w14:textId="70216B61" w:rsidR="2B295BCC" w:rsidRDefault="2B295BCC">
      <w:r w:rsidRPr="526E002D">
        <w:rPr>
          <w:rFonts w:eastAsia="Verdana" w:cs="Verdana"/>
          <w:sz w:val="24"/>
          <w:szCs w:val="24"/>
        </w:rPr>
        <w:t xml:space="preserve">The below table provides the estimated and indicative day rates that will be contracted under the new CGH Pricing Model. </w:t>
      </w:r>
    </w:p>
    <w:p w14:paraId="76B9A12E" w14:textId="60BEF817" w:rsidR="2B295BCC" w:rsidRDefault="2B295BCC">
      <w:r w:rsidRPr="526E002D">
        <w:rPr>
          <w:rFonts w:eastAsia="Verdana" w:cs="Verdana"/>
          <w:sz w:val="24"/>
          <w:szCs w:val="24"/>
        </w:rPr>
        <w:t>The rates will replace existing: Day Rates, Sleepover Top-ups, Pay Equity Advance Interim Payment top-ups, and Day Activity Contributions (DAC). The rates will all be Client Contribution Inclusive.</w:t>
      </w:r>
    </w:p>
    <w:p w14:paraId="60C3A5F8" w14:textId="5A5D2778" w:rsidR="688DD371" w:rsidRDefault="688DD371" w:rsidP="688DD371">
      <w:pPr>
        <w:rPr>
          <w:rFonts w:eastAsia="Verdana" w:cs="Verdana"/>
          <w:sz w:val="24"/>
          <w:szCs w:val="24"/>
        </w:rPr>
      </w:pPr>
    </w:p>
    <w:tbl>
      <w:tblPr>
        <w:tblStyle w:val="GridTable1Light-Accent1"/>
        <w:tblW w:w="5280" w:type="dxa"/>
        <w:tblLayout w:type="fixed"/>
        <w:tblLook w:val="06A0" w:firstRow="1" w:lastRow="0" w:firstColumn="1" w:lastColumn="0" w:noHBand="1" w:noVBand="1"/>
      </w:tblPr>
      <w:tblGrid>
        <w:gridCol w:w="2235"/>
        <w:gridCol w:w="3045"/>
      </w:tblGrid>
      <w:tr w:rsidR="7BF92C85" w14:paraId="40FC9991" w14:textId="77777777" w:rsidTr="242719F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shd w:val="clear" w:color="auto" w:fill="95B3D7" w:themeFill="accent1" w:themeFillTint="99"/>
          </w:tcPr>
          <w:p w14:paraId="09E65C11" w14:textId="27CE7CE5" w:rsidR="7BF92C85" w:rsidRDefault="4684766C" w:rsidP="7BF92C85">
            <w:pPr>
              <w:rPr>
                <w:rFonts w:eastAsia="Verdana" w:cs="Verdana"/>
                <w:sz w:val="24"/>
                <w:szCs w:val="24"/>
              </w:rPr>
            </w:pPr>
            <w:r w:rsidRPr="4AE917FF">
              <w:rPr>
                <w:rFonts w:eastAsia="Verdana" w:cs="Verdana"/>
                <w:sz w:val="24"/>
                <w:szCs w:val="24"/>
              </w:rPr>
              <w:t>Level:</w:t>
            </w:r>
          </w:p>
        </w:tc>
        <w:tc>
          <w:tcPr>
            <w:tcW w:w="3045" w:type="dxa"/>
            <w:shd w:val="clear" w:color="auto" w:fill="95B3D7" w:themeFill="accent1" w:themeFillTint="99"/>
          </w:tcPr>
          <w:p w14:paraId="63837707" w14:textId="02637E47" w:rsidR="7BF92C85" w:rsidRDefault="4684766C" w:rsidP="7BF92C85">
            <w:pPr>
              <w:cnfStyle w:val="100000000000" w:firstRow="1" w:lastRow="0" w:firstColumn="0" w:lastColumn="0" w:oddVBand="0" w:evenVBand="0" w:oddHBand="0" w:evenHBand="0" w:firstRowFirstColumn="0" w:firstRowLastColumn="0" w:lastRowFirstColumn="0" w:lastRowLastColumn="0"/>
              <w:rPr>
                <w:rFonts w:eastAsia="Verdana" w:cs="Verdana"/>
                <w:sz w:val="24"/>
                <w:szCs w:val="24"/>
              </w:rPr>
            </w:pPr>
            <w:r w:rsidRPr="4AE917FF">
              <w:rPr>
                <w:rFonts w:eastAsia="Verdana" w:cs="Verdana"/>
                <w:sz w:val="24"/>
                <w:szCs w:val="24"/>
              </w:rPr>
              <w:t>Estimated Price Point:</w:t>
            </w:r>
          </w:p>
        </w:tc>
      </w:tr>
      <w:tr w:rsidR="5D5E29BE" w14:paraId="289690F3" w14:textId="77777777" w:rsidTr="242719FB">
        <w:trPr>
          <w:trHeight w:val="300"/>
        </w:trPr>
        <w:tc>
          <w:tcPr>
            <w:cnfStyle w:val="001000000000" w:firstRow="0" w:lastRow="0" w:firstColumn="1" w:lastColumn="0" w:oddVBand="0" w:evenVBand="0" w:oddHBand="0" w:evenHBand="0" w:firstRowFirstColumn="0" w:firstRowLastColumn="0" w:lastRowFirstColumn="0" w:lastRowLastColumn="0"/>
            <w:tcW w:w="5280" w:type="dxa"/>
            <w:gridSpan w:val="2"/>
            <w:shd w:val="clear" w:color="auto" w:fill="DBE5F1" w:themeFill="accent1" w:themeFillTint="33"/>
          </w:tcPr>
          <w:p w14:paraId="4C6323B8" w14:textId="62265DDD" w:rsidR="4684766C" w:rsidRDefault="4684766C" w:rsidP="5D5E29BE">
            <w:pPr>
              <w:rPr>
                <w:rFonts w:eastAsia="Verdana" w:cs="Verdana"/>
                <w:sz w:val="24"/>
                <w:szCs w:val="24"/>
              </w:rPr>
            </w:pPr>
            <w:r w:rsidRPr="4AE917FF">
              <w:rPr>
                <w:rFonts w:eastAsia="Verdana" w:cs="Verdana"/>
                <w:sz w:val="24"/>
                <w:szCs w:val="24"/>
              </w:rPr>
              <w:t>Northern</w:t>
            </w:r>
          </w:p>
        </w:tc>
      </w:tr>
      <w:tr w:rsidR="7ED0D9D1" w14:paraId="596C8153" w14:textId="77777777" w:rsidTr="242719FB">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22A7FCCE" w14:textId="215CE4A9" w:rsidR="7ED0D9D1" w:rsidRDefault="4684766C" w:rsidP="7ED0D9D1">
            <w:pPr>
              <w:rPr>
                <w:sz w:val="24"/>
                <w:szCs w:val="24"/>
              </w:rPr>
            </w:pPr>
            <w:r w:rsidRPr="7699C894">
              <w:rPr>
                <w:sz w:val="24"/>
                <w:szCs w:val="24"/>
              </w:rPr>
              <w:t>Level 1</w:t>
            </w:r>
          </w:p>
        </w:tc>
        <w:tc>
          <w:tcPr>
            <w:tcW w:w="3045" w:type="dxa"/>
          </w:tcPr>
          <w:p w14:paraId="0DFF7887" w14:textId="101C56FD" w:rsidR="7ED0D9D1" w:rsidRDefault="4684766C" w:rsidP="4A5F6A9E">
            <w:pPr>
              <w:jc w:val="right"/>
              <w:cnfStyle w:val="000000000000" w:firstRow="0" w:lastRow="0" w:firstColumn="0" w:lastColumn="0" w:oddVBand="0" w:evenVBand="0" w:oddHBand="0" w:evenHBand="0" w:firstRowFirstColumn="0" w:firstRowLastColumn="0" w:lastRowFirstColumn="0" w:lastRowLastColumn="0"/>
              <w:rPr>
                <w:sz w:val="24"/>
                <w:szCs w:val="24"/>
              </w:rPr>
            </w:pPr>
            <w:r w:rsidRPr="057ABA22">
              <w:rPr>
                <w:sz w:val="24"/>
                <w:szCs w:val="24"/>
              </w:rPr>
              <w:t>$320.00</w:t>
            </w:r>
          </w:p>
        </w:tc>
      </w:tr>
      <w:tr w:rsidR="1F27289F" w14:paraId="6535DBC5" w14:textId="77777777" w:rsidTr="242719FB">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78869E64" w14:textId="36E2F377" w:rsidR="1F27289F" w:rsidRDefault="4684766C" w:rsidP="1F27289F">
            <w:pPr>
              <w:rPr>
                <w:sz w:val="24"/>
                <w:szCs w:val="24"/>
              </w:rPr>
            </w:pPr>
            <w:r w:rsidRPr="345AB44D">
              <w:rPr>
                <w:sz w:val="24"/>
                <w:szCs w:val="24"/>
              </w:rPr>
              <w:t>Level 2</w:t>
            </w:r>
          </w:p>
        </w:tc>
        <w:tc>
          <w:tcPr>
            <w:tcW w:w="3045" w:type="dxa"/>
          </w:tcPr>
          <w:p w14:paraId="7DA817D1" w14:textId="0CAAFE3F" w:rsidR="1F27289F" w:rsidRDefault="4684766C" w:rsidP="4A5F6A9E">
            <w:pPr>
              <w:jc w:val="right"/>
              <w:cnfStyle w:val="000000000000" w:firstRow="0" w:lastRow="0" w:firstColumn="0" w:lastColumn="0" w:oddVBand="0" w:evenVBand="0" w:oddHBand="0" w:evenHBand="0" w:firstRowFirstColumn="0" w:firstRowLastColumn="0" w:lastRowFirstColumn="0" w:lastRowLastColumn="0"/>
              <w:rPr>
                <w:sz w:val="24"/>
                <w:szCs w:val="24"/>
              </w:rPr>
            </w:pPr>
            <w:r w:rsidRPr="48FD6395">
              <w:rPr>
                <w:sz w:val="24"/>
                <w:szCs w:val="24"/>
              </w:rPr>
              <w:t>$410.00</w:t>
            </w:r>
          </w:p>
        </w:tc>
      </w:tr>
      <w:tr w:rsidR="59F5A63C" w14:paraId="724AE585" w14:textId="77777777" w:rsidTr="242719FB">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60CF8F88" w14:textId="2D39DCED" w:rsidR="59F5A63C" w:rsidRDefault="4684766C" w:rsidP="59F5A63C">
            <w:r w:rsidRPr="7F9583F0">
              <w:rPr>
                <w:rFonts w:eastAsia="Verdana" w:cs="Verdana"/>
                <w:sz w:val="24"/>
                <w:szCs w:val="24"/>
              </w:rPr>
              <w:t xml:space="preserve">Level 3   </w:t>
            </w:r>
            <w:r w:rsidRPr="30FA76DC">
              <w:rPr>
                <w:rFonts w:eastAsia="Verdana" w:cs="Verdana"/>
                <w:sz w:val="24"/>
                <w:szCs w:val="24"/>
              </w:rPr>
              <w:t xml:space="preserve"> </w:t>
            </w:r>
            <w:r w:rsidRPr="7F9583F0">
              <w:rPr>
                <w:rFonts w:eastAsia="Verdana" w:cs="Verdana"/>
                <w:sz w:val="24"/>
                <w:szCs w:val="24"/>
              </w:rPr>
              <w:t xml:space="preserve"> </w:t>
            </w:r>
            <w:r w:rsidRPr="45A72E75">
              <w:rPr>
                <w:rFonts w:eastAsia="Verdana" w:cs="Verdana"/>
                <w:sz w:val="24"/>
                <w:szCs w:val="24"/>
              </w:rPr>
              <w:t xml:space="preserve"> </w:t>
            </w:r>
            <w:r w:rsidRPr="7F9583F0">
              <w:rPr>
                <w:rFonts w:eastAsia="Verdana" w:cs="Verdana"/>
                <w:sz w:val="24"/>
                <w:szCs w:val="24"/>
              </w:rPr>
              <w:t xml:space="preserve"> </w:t>
            </w:r>
          </w:p>
        </w:tc>
        <w:tc>
          <w:tcPr>
            <w:tcW w:w="3045" w:type="dxa"/>
          </w:tcPr>
          <w:p w14:paraId="7837C089" w14:textId="6C8359C7" w:rsidR="59F5A63C" w:rsidRDefault="4684766C" w:rsidP="4A5F6A9E">
            <w:pPr>
              <w:jc w:val="right"/>
              <w:cnfStyle w:val="000000000000" w:firstRow="0" w:lastRow="0" w:firstColumn="0" w:lastColumn="0" w:oddVBand="0" w:evenVBand="0" w:oddHBand="0" w:evenHBand="0" w:firstRowFirstColumn="0" w:firstRowLastColumn="0" w:lastRowFirstColumn="0" w:lastRowLastColumn="0"/>
            </w:pPr>
            <w:r w:rsidRPr="1DED3EBC">
              <w:rPr>
                <w:rFonts w:eastAsia="Verdana" w:cs="Verdana"/>
                <w:sz w:val="24"/>
                <w:szCs w:val="24"/>
              </w:rPr>
              <w:t>$490.00</w:t>
            </w:r>
          </w:p>
        </w:tc>
      </w:tr>
      <w:tr w:rsidR="165A63CA" w14:paraId="5CBA537D" w14:textId="77777777" w:rsidTr="242719FB">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5B4AA53E" w14:textId="606513E8" w:rsidR="165A63CA" w:rsidRDefault="4684766C" w:rsidP="165A63CA">
            <w:r w:rsidRPr="30FA76DC">
              <w:rPr>
                <w:rFonts w:eastAsia="Verdana" w:cs="Verdana"/>
                <w:sz w:val="24"/>
                <w:szCs w:val="24"/>
              </w:rPr>
              <w:t>Level 4</w:t>
            </w:r>
          </w:p>
        </w:tc>
        <w:tc>
          <w:tcPr>
            <w:tcW w:w="3045" w:type="dxa"/>
          </w:tcPr>
          <w:p w14:paraId="156A1E91" w14:textId="7023E725" w:rsidR="165A63CA" w:rsidRDefault="4684766C" w:rsidP="4A5F6A9E">
            <w:pPr>
              <w:jc w:val="right"/>
              <w:cnfStyle w:val="000000000000" w:firstRow="0" w:lastRow="0" w:firstColumn="0" w:lastColumn="0" w:oddVBand="0" w:evenVBand="0" w:oddHBand="0" w:evenHBand="0" w:firstRowFirstColumn="0" w:firstRowLastColumn="0" w:lastRowFirstColumn="0" w:lastRowLastColumn="0"/>
            </w:pPr>
            <w:r w:rsidRPr="30FA76DC">
              <w:rPr>
                <w:rFonts w:eastAsia="Verdana" w:cs="Verdana"/>
                <w:sz w:val="24"/>
                <w:szCs w:val="24"/>
              </w:rPr>
              <w:t>$670.00</w:t>
            </w:r>
          </w:p>
        </w:tc>
      </w:tr>
      <w:tr w:rsidR="165A63CA" w14:paraId="395032F6" w14:textId="77777777" w:rsidTr="242719FB">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40E3DBE5" w14:textId="2DFD8216" w:rsidR="165A63CA" w:rsidRDefault="4684766C" w:rsidP="165A63CA">
            <w:r w:rsidRPr="45A72E75">
              <w:rPr>
                <w:rFonts w:eastAsia="Verdana" w:cs="Verdana"/>
                <w:sz w:val="24"/>
                <w:szCs w:val="24"/>
              </w:rPr>
              <w:t>Level 5</w:t>
            </w:r>
          </w:p>
        </w:tc>
        <w:tc>
          <w:tcPr>
            <w:tcW w:w="3045" w:type="dxa"/>
          </w:tcPr>
          <w:p w14:paraId="19A6AA3E" w14:textId="08964662" w:rsidR="165A63CA" w:rsidRDefault="4684766C" w:rsidP="4A5F6A9E">
            <w:pPr>
              <w:jc w:val="right"/>
              <w:cnfStyle w:val="000000000000" w:firstRow="0" w:lastRow="0" w:firstColumn="0" w:lastColumn="0" w:oddVBand="0" w:evenVBand="0" w:oddHBand="0" w:evenHBand="0" w:firstRowFirstColumn="0" w:firstRowLastColumn="0" w:lastRowFirstColumn="0" w:lastRowLastColumn="0"/>
            </w:pPr>
            <w:r w:rsidRPr="45A72E75">
              <w:rPr>
                <w:rFonts w:eastAsia="Verdana" w:cs="Verdana"/>
                <w:sz w:val="24"/>
                <w:szCs w:val="24"/>
              </w:rPr>
              <w:t>$830.00</w:t>
            </w:r>
          </w:p>
        </w:tc>
      </w:tr>
      <w:tr w:rsidR="165A63CA" w14:paraId="3A96F232" w14:textId="77777777" w:rsidTr="242719FB">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500FBA13" w14:textId="67EE5C85" w:rsidR="165A63CA" w:rsidRDefault="4684766C" w:rsidP="165A63CA">
            <w:r w:rsidRPr="1C1BE912">
              <w:rPr>
                <w:rFonts w:eastAsia="Verdana" w:cs="Verdana"/>
                <w:sz w:val="24"/>
                <w:szCs w:val="24"/>
              </w:rPr>
              <w:t>Level 6</w:t>
            </w:r>
          </w:p>
        </w:tc>
        <w:tc>
          <w:tcPr>
            <w:tcW w:w="3045" w:type="dxa"/>
          </w:tcPr>
          <w:p w14:paraId="0D8795F1" w14:textId="12D309EF" w:rsidR="165A63CA" w:rsidRDefault="4684766C" w:rsidP="4A5F6A9E">
            <w:pPr>
              <w:jc w:val="right"/>
              <w:cnfStyle w:val="000000000000" w:firstRow="0" w:lastRow="0" w:firstColumn="0" w:lastColumn="0" w:oddVBand="0" w:evenVBand="0" w:oddHBand="0" w:evenHBand="0" w:firstRowFirstColumn="0" w:firstRowLastColumn="0" w:lastRowFirstColumn="0" w:lastRowLastColumn="0"/>
            </w:pPr>
            <w:r w:rsidRPr="1C1BE912">
              <w:rPr>
                <w:rFonts w:eastAsia="Verdana" w:cs="Verdana"/>
                <w:sz w:val="24"/>
                <w:szCs w:val="24"/>
              </w:rPr>
              <w:t>$960.00</w:t>
            </w:r>
          </w:p>
        </w:tc>
      </w:tr>
      <w:tr w:rsidR="165A63CA" w14:paraId="6EAC7ADB" w14:textId="77777777" w:rsidTr="242719FB">
        <w:trPr>
          <w:trHeight w:val="300"/>
        </w:trPr>
        <w:tc>
          <w:tcPr>
            <w:cnfStyle w:val="001000000000" w:firstRow="0" w:lastRow="0" w:firstColumn="1" w:lastColumn="0" w:oddVBand="0" w:evenVBand="0" w:oddHBand="0" w:evenHBand="0" w:firstRowFirstColumn="0" w:firstRowLastColumn="0" w:lastRowFirstColumn="0" w:lastRowLastColumn="0"/>
            <w:tcW w:w="5280" w:type="dxa"/>
            <w:gridSpan w:val="2"/>
            <w:shd w:val="clear" w:color="auto" w:fill="DBE5F1" w:themeFill="accent1" w:themeFillTint="33"/>
          </w:tcPr>
          <w:p w14:paraId="6822BE2E" w14:textId="302483A5" w:rsidR="165A63CA" w:rsidRDefault="4684766C" w:rsidP="165A63CA">
            <w:pPr>
              <w:rPr>
                <w:sz w:val="24"/>
                <w:szCs w:val="24"/>
              </w:rPr>
            </w:pPr>
            <w:r w:rsidRPr="3C87BA04">
              <w:rPr>
                <w:sz w:val="24"/>
                <w:szCs w:val="24"/>
              </w:rPr>
              <w:t>Midlands</w:t>
            </w:r>
          </w:p>
        </w:tc>
      </w:tr>
      <w:tr w:rsidR="165A63CA" w14:paraId="211C51B6" w14:textId="77777777" w:rsidTr="242719FB">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7CB44EAC" w14:textId="4FCD2CB1" w:rsidR="165A63CA" w:rsidRDefault="4684766C" w:rsidP="165A63CA">
            <w:r w:rsidRPr="19843987">
              <w:rPr>
                <w:rFonts w:eastAsia="Verdana" w:cs="Verdana"/>
                <w:sz w:val="24"/>
                <w:szCs w:val="24"/>
              </w:rPr>
              <w:t xml:space="preserve">Level 1 </w:t>
            </w:r>
            <w:r w:rsidRPr="5F5108DA">
              <w:rPr>
                <w:rFonts w:eastAsia="Verdana" w:cs="Verdana"/>
                <w:sz w:val="24"/>
                <w:szCs w:val="24"/>
              </w:rPr>
              <w:t xml:space="preserve"> </w:t>
            </w:r>
            <w:r w:rsidRPr="19843987">
              <w:rPr>
                <w:rFonts w:eastAsia="Verdana" w:cs="Verdana"/>
                <w:sz w:val="24"/>
                <w:szCs w:val="24"/>
              </w:rPr>
              <w:t xml:space="preserve">   </w:t>
            </w:r>
            <w:r w:rsidRPr="0D643C36">
              <w:rPr>
                <w:rFonts w:eastAsia="Verdana" w:cs="Verdana"/>
                <w:sz w:val="24"/>
                <w:szCs w:val="24"/>
              </w:rPr>
              <w:t xml:space="preserve">  </w:t>
            </w:r>
            <w:r w:rsidRPr="19843987">
              <w:rPr>
                <w:rFonts w:eastAsia="Verdana" w:cs="Verdana"/>
                <w:sz w:val="24"/>
                <w:szCs w:val="24"/>
              </w:rPr>
              <w:t xml:space="preserve">  </w:t>
            </w:r>
            <w:r w:rsidRPr="3FF14B12">
              <w:rPr>
                <w:rFonts w:eastAsia="Verdana" w:cs="Verdana"/>
                <w:sz w:val="24"/>
                <w:szCs w:val="24"/>
              </w:rPr>
              <w:t xml:space="preserve">  </w:t>
            </w:r>
          </w:p>
        </w:tc>
        <w:tc>
          <w:tcPr>
            <w:tcW w:w="3045" w:type="dxa"/>
          </w:tcPr>
          <w:p w14:paraId="186B87E9" w14:textId="4CD487B7" w:rsidR="165A63CA" w:rsidRDefault="4684766C" w:rsidP="66F641FD">
            <w:pPr>
              <w:jc w:val="right"/>
              <w:cnfStyle w:val="000000000000" w:firstRow="0" w:lastRow="0" w:firstColumn="0" w:lastColumn="0" w:oddVBand="0" w:evenVBand="0" w:oddHBand="0" w:evenHBand="0" w:firstRowFirstColumn="0" w:firstRowLastColumn="0" w:lastRowFirstColumn="0" w:lastRowLastColumn="0"/>
            </w:pPr>
            <w:r w:rsidRPr="5F5108DA">
              <w:rPr>
                <w:rFonts w:eastAsia="Verdana" w:cs="Verdana"/>
                <w:sz w:val="24"/>
                <w:szCs w:val="24"/>
              </w:rPr>
              <w:t>$320.00</w:t>
            </w:r>
          </w:p>
        </w:tc>
      </w:tr>
      <w:tr w:rsidR="165A63CA" w14:paraId="22B9358D" w14:textId="77777777" w:rsidTr="242719FB">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16858811" w14:textId="67F6D816" w:rsidR="165A63CA" w:rsidRDefault="4684766C" w:rsidP="165A63CA">
            <w:r w:rsidRPr="272649CB">
              <w:rPr>
                <w:rFonts w:eastAsia="Verdana" w:cs="Verdana"/>
                <w:sz w:val="24"/>
                <w:szCs w:val="24"/>
              </w:rPr>
              <w:t>Level 2</w:t>
            </w:r>
          </w:p>
        </w:tc>
        <w:tc>
          <w:tcPr>
            <w:tcW w:w="3045" w:type="dxa"/>
          </w:tcPr>
          <w:p w14:paraId="6C9ABA6E" w14:textId="3E2B8352" w:rsidR="165A63CA" w:rsidRDefault="4684766C" w:rsidP="66F641FD">
            <w:pPr>
              <w:jc w:val="right"/>
              <w:cnfStyle w:val="000000000000" w:firstRow="0" w:lastRow="0" w:firstColumn="0" w:lastColumn="0" w:oddVBand="0" w:evenVBand="0" w:oddHBand="0" w:evenHBand="0" w:firstRowFirstColumn="0" w:firstRowLastColumn="0" w:lastRowFirstColumn="0" w:lastRowLastColumn="0"/>
            </w:pPr>
            <w:r w:rsidRPr="30883759">
              <w:rPr>
                <w:rFonts w:eastAsia="Verdana" w:cs="Verdana"/>
                <w:sz w:val="24"/>
                <w:szCs w:val="24"/>
              </w:rPr>
              <w:t>$400.00</w:t>
            </w:r>
          </w:p>
        </w:tc>
      </w:tr>
      <w:tr w:rsidR="165A63CA" w14:paraId="521E6A8C" w14:textId="77777777" w:rsidTr="242719FB">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084A633F" w14:textId="7958F7DD" w:rsidR="165A63CA" w:rsidRDefault="4684766C" w:rsidP="165A63CA">
            <w:r w:rsidRPr="30883759">
              <w:rPr>
                <w:rFonts w:eastAsia="Verdana" w:cs="Verdana"/>
                <w:sz w:val="24"/>
                <w:szCs w:val="24"/>
              </w:rPr>
              <w:t>Level 3</w:t>
            </w:r>
          </w:p>
        </w:tc>
        <w:tc>
          <w:tcPr>
            <w:tcW w:w="3045" w:type="dxa"/>
          </w:tcPr>
          <w:p w14:paraId="01A2DA99" w14:textId="2400A062" w:rsidR="165A63CA" w:rsidRDefault="4684766C" w:rsidP="66F641FD">
            <w:pPr>
              <w:jc w:val="right"/>
              <w:cnfStyle w:val="000000000000" w:firstRow="0" w:lastRow="0" w:firstColumn="0" w:lastColumn="0" w:oddVBand="0" w:evenVBand="0" w:oddHBand="0" w:evenHBand="0" w:firstRowFirstColumn="0" w:firstRowLastColumn="0" w:lastRowFirstColumn="0" w:lastRowLastColumn="0"/>
            </w:pPr>
            <w:r w:rsidRPr="0D643C36">
              <w:rPr>
                <w:rFonts w:eastAsia="Verdana" w:cs="Verdana"/>
                <w:sz w:val="24"/>
                <w:szCs w:val="24"/>
              </w:rPr>
              <w:t>$490.00</w:t>
            </w:r>
          </w:p>
        </w:tc>
      </w:tr>
      <w:tr w:rsidR="165A63CA" w14:paraId="52C84A67" w14:textId="77777777" w:rsidTr="242719FB">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6F859934" w14:textId="1B7B6CA2" w:rsidR="165A63CA" w:rsidRDefault="4684766C" w:rsidP="165A63CA">
            <w:r w:rsidRPr="0D643C36">
              <w:rPr>
                <w:rFonts w:eastAsia="Verdana" w:cs="Verdana"/>
                <w:sz w:val="24"/>
                <w:szCs w:val="24"/>
              </w:rPr>
              <w:t>Level 4</w:t>
            </w:r>
          </w:p>
        </w:tc>
        <w:tc>
          <w:tcPr>
            <w:tcW w:w="3045" w:type="dxa"/>
          </w:tcPr>
          <w:p w14:paraId="2662C633" w14:textId="3189A030" w:rsidR="165A63CA" w:rsidRDefault="4684766C" w:rsidP="66F641FD">
            <w:pPr>
              <w:jc w:val="right"/>
              <w:cnfStyle w:val="000000000000" w:firstRow="0" w:lastRow="0" w:firstColumn="0" w:lastColumn="0" w:oddVBand="0" w:evenVBand="0" w:oddHBand="0" w:evenHBand="0" w:firstRowFirstColumn="0" w:firstRowLastColumn="0" w:lastRowFirstColumn="0" w:lastRowLastColumn="0"/>
            </w:pPr>
            <w:r w:rsidRPr="0D643C36">
              <w:rPr>
                <w:rFonts w:eastAsia="Verdana" w:cs="Verdana"/>
                <w:sz w:val="24"/>
                <w:szCs w:val="24"/>
              </w:rPr>
              <w:t>$630.00</w:t>
            </w:r>
          </w:p>
        </w:tc>
      </w:tr>
      <w:tr w:rsidR="165A63CA" w14:paraId="10562AAF" w14:textId="77777777" w:rsidTr="242719FB">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70F5628E" w14:textId="29B426B6" w:rsidR="165A63CA" w:rsidRDefault="4684766C" w:rsidP="165A63CA">
            <w:r w:rsidRPr="7CFB2F4F">
              <w:rPr>
                <w:rFonts w:eastAsia="Verdana" w:cs="Verdana"/>
                <w:sz w:val="24"/>
                <w:szCs w:val="24"/>
              </w:rPr>
              <w:t>Level 5</w:t>
            </w:r>
          </w:p>
        </w:tc>
        <w:tc>
          <w:tcPr>
            <w:tcW w:w="3045" w:type="dxa"/>
          </w:tcPr>
          <w:p w14:paraId="407B12BE" w14:textId="3AD556FC" w:rsidR="165A63CA" w:rsidRDefault="4684766C" w:rsidP="66F641FD">
            <w:pPr>
              <w:jc w:val="right"/>
              <w:cnfStyle w:val="000000000000" w:firstRow="0" w:lastRow="0" w:firstColumn="0" w:lastColumn="0" w:oddVBand="0" w:evenVBand="0" w:oddHBand="0" w:evenHBand="0" w:firstRowFirstColumn="0" w:firstRowLastColumn="0" w:lastRowFirstColumn="0" w:lastRowLastColumn="0"/>
            </w:pPr>
            <w:r w:rsidRPr="3FF14B12">
              <w:rPr>
                <w:rFonts w:eastAsia="Verdana" w:cs="Verdana"/>
                <w:sz w:val="24"/>
                <w:szCs w:val="24"/>
              </w:rPr>
              <w:t>$720.00</w:t>
            </w:r>
          </w:p>
        </w:tc>
      </w:tr>
      <w:tr w:rsidR="165A63CA" w14:paraId="669EDD14" w14:textId="77777777" w:rsidTr="242719FB">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3CC4CAF7" w14:textId="60A44493" w:rsidR="165A63CA" w:rsidRDefault="4684766C" w:rsidP="165A63CA">
            <w:r w:rsidRPr="3FF14B12">
              <w:rPr>
                <w:rFonts w:eastAsia="Verdana" w:cs="Verdana"/>
                <w:sz w:val="24"/>
                <w:szCs w:val="24"/>
              </w:rPr>
              <w:t>Level 6</w:t>
            </w:r>
          </w:p>
        </w:tc>
        <w:tc>
          <w:tcPr>
            <w:tcW w:w="3045" w:type="dxa"/>
          </w:tcPr>
          <w:p w14:paraId="7FB4A641" w14:textId="31652F69" w:rsidR="165A63CA" w:rsidRDefault="4684766C" w:rsidP="66F641FD">
            <w:pPr>
              <w:jc w:val="right"/>
              <w:cnfStyle w:val="000000000000" w:firstRow="0" w:lastRow="0" w:firstColumn="0" w:lastColumn="0" w:oddVBand="0" w:evenVBand="0" w:oddHBand="0" w:evenHBand="0" w:firstRowFirstColumn="0" w:firstRowLastColumn="0" w:lastRowFirstColumn="0" w:lastRowLastColumn="0"/>
            </w:pPr>
            <w:r w:rsidRPr="59D84E6B">
              <w:rPr>
                <w:rFonts w:eastAsia="Verdana" w:cs="Verdana"/>
                <w:sz w:val="24"/>
                <w:szCs w:val="24"/>
              </w:rPr>
              <w:t>$850.00</w:t>
            </w:r>
          </w:p>
        </w:tc>
      </w:tr>
      <w:tr w:rsidR="165A63CA" w14:paraId="640EB423" w14:textId="77777777" w:rsidTr="242719FB">
        <w:trPr>
          <w:trHeight w:val="300"/>
        </w:trPr>
        <w:tc>
          <w:tcPr>
            <w:cnfStyle w:val="001000000000" w:firstRow="0" w:lastRow="0" w:firstColumn="1" w:lastColumn="0" w:oddVBand="0" w:evenVBand="0" w:oddHBand="0" w:evenHBand="0" w:firstRowFirstColumn="0" w:firstRowLastColumn="0" w:lastRowFirstColumn="0" w:lastRowLastColumn="0"/>
            <w:tcW w:w="5280" w:type="dxa"/>
            <w:gridSpan w:val="2"/>
            <w:shd w:val="clear" w:color="auto" w:fill="DBE5F1" w:themeFill="accent1" w:themeFillTint="33"/>
          </w:tcPr>
          <w:p w14:paraId="15B7E016" w14:textId="480DB0AA" w:rsidR="165A63CA" w:rsidRDefault="4684766C" w:rsidP="165A63CA">
            <w:pPr>
              <w:rPr>
                <w:sz w:val="24"/>
                <w:szCs w:val="24"/>
              </w:rPr>
            </w:pPr>
            <w:r w:rsidRPr="07ADA64C">
              <w:rPr>
                <w:sz w:val="24"/>
                <w:szCs w:val="24"/>
              </w:rPr>
              <w:t>Central</w:t>
            </w:r>
          </w:p>
        </w:tc>
      </w:tr>
      <w:tr w:rsidR="165A63CA" w14:paraId="15763045" w14:textId="77777777" w:rsidTr="242719FB">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79CF4986" w14:textId="2C5E89EA" w:rsidR="165A63CA" w:rsidRDefault="4684766C" w:rsidP="165A63CA">
            <w:r w:rsidRPr="751332D6">
              <w:rPr>
                <w:rFonts w:eastAsia="Verdana" w:cs="Verdana"/>
                <w:sz w:val="24"/>
                <w:szCs w:val="24"/>
              </w:rPr>
              <w:t xml:space="preserve">Level 1  </w:t>
            </w:r>
            <w:r w:rsidRPr="5317595D">
              <w:rPr>
                <w:rFonts w:eastAsia="Verdana" w:cs="Verdana"/>
                <w:sz w:val="24"/>
                <w:szCs w:val="24"/>
              </w:rPr>
              <w:t xml:space="preserve">  </w:t>
            </w:r>
            <w:r w:rsidRPr="3850F800">
              <w:rPr>
                <w:rFonts w:eastAsia="Verdana" w:cs="Verdana"/>
                <w:sz w:val="24"/>
                <w:szCs w:val="24"/>
              </w:rPr>
              <w:t xml:space="preserve">  </w:t>
            </w:r>
            <w:r w:rsidRPr="751332D6">
              <w:rPr>
                <w:rFonts w:eastAsia="Verdana" w:cs="Verdana"/>
                <w:sz w:val="24"/>
                <w:szCs w:val="24"/>
              </w:rPr>
              <w:t xml:space="preserve">  </w:t>
            </w:r>
            <w:r w:rsidRPr="3E5C8608">
              <w:rPr>
                <w:rFonts w:eastAsia="Verdana" w:cs="Verdana"/>
                <w:sz w:val="24"/>
                <w:szCs w:val="24"/>
              </w:rPr>
              <w:t xml:space="preserve">  </w:t>
            </w:r>
            <w:r w:rsidRPr="751332D6">
              <w:rPr>
                <w:rFonts w:eastAsia="Verdana" w:cs="Verdana"/>
                <w:sz w:val="24"/>
                <w:szCs w:val="24"/>
              </w:rPr>
              <w:t xml:space="preserve"> </w:t>
            </w:r>
          </w:p>
        </w:tc>
        <w:tc>
          <w:tcPr>
            <w:tcW w:w="3045" w:type="dxa"/>
          </w:tcPr>
          <w:p w14:paraId="0B112F91" w14:textId="06ADD046" w:rsidR="165A63CA" w:rsidRDefault="4684766C" w:rsidP="66F641FD">
            <w:pPr>
              <w:jc w:val="right"/>
              <w:cnfStyle w:val="000000000000" w:firstRow="0" w:lastRow="0" w:firstColumn="0" w:lastColumn="0" w:oddVBand="0" w:evenVBand="0" w:oddHBand="0" w:evenHBand="0" w:firstRowFirstColumn="0" w:firstRowLastColumn="0" w:lastRowFirstColumn="0" w:lastRowLastColumn="0"/>
            </w:pPr>
            <w:r w:rsidRPr="7B65F9F9">
              <w:rPr>
                <w:rFonts w:eastAsia="Verdana" w:cs="Verdana"/>
                <w:sz w:val="24"/>
                <w:szCs w:val="24"/>
              </w:rPr>
              <w:t>$320.00</w:t>
            </w:r>
          </w:p>
        </w:tc>
      </w:tr>
      <w:tr w:rsidR="165A63CA" w14:paraId="5ACA8FB9" w14:textId="77777777" w:rsidTr="242719FB">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2F47AAAC" w14:textId="44903417" w:rsidR="165A63CA" w:rsidRDefault="4684766C" w:rsidP="165A63CA">
            <w:r w:rsidRPr="5317595D">
              <w:rPr>
                <w:rFonts w:eastAsia="Verdana" w:cs="Verdana"/>
                <w:sz w:val="24"/>
                <w:szCs w:val="24"/>
              </w:rPr>
              <w:t>Level 2</w:t>
            </w:r>
          </w:p>
        </w:tc>
        <w:tc>
          <w:tcPr>
            <w:tcW w:w="3045" w:type="dxa"/>
          </w:tcPr>
          <w:p w14:paraId="1AA522AE" w14:textId="2635B870" w:rsidR="165A63CA" w:rsidRDefault="4684766C" w:rsidP="66F641FD">
            <w:pPr>
              <w:jc w:val="right"/>
              <w:cnfStyle w:val="000000000000" w:firstRow="0" w:lastRow="0" w:firstColumn="0" w:lastColumn="0" w:oddVBand="0" w:evenVBand="0" w:oddHBand="0" w:evenHBand="0" w:firstRowFirstColumn="0" w:firstRowLastColumn="0" w:lastRowFirstColumn="0" w:lastRowLastColumn="0"/>
            </w:pPr>
            <w:r w:rsidRPr="3850F800">
              <w:rPr>
                <w:rFonts w:eastAsia="Verdana" w:cs="Verdana"/>
                <w:sz w:val="24"/>
                <w:szCs w:val="24"/>
              </w:rPr>
              <w:t>$400.00</w:t>
            </w:r>
          </w:p>
        </w:tc>
      </w:tr>
      <w:tr w:rsidR="59D84E6B" w14:paraId="5707CF91" w14:textId="77777777" w:rsidTr="242719FB">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57D22B21" w14:textId="40DEEEAA" w:rsidR="59D84E6B" w:rsidRDefault="4684766C" w:rsidP="59D84E6B">
            <w:r w:rsidRPr="3850F800">
              <w:rPr>
                <w:rFonts w:eastAsia="Verdana" w:cs="Verdana"/>
                <w:sz w:val="24"/>
                <w:szCs w:val="24"/>
              </w:rPr>
              <w:t>Level 3</w:t>
            </w:r>
          </w:p>
        </w:tc>
        <w:tc>
          <w:tcPr>
            <w:tcW w:w="3045" w:type="dxa"/>
          </w:tcPr>
          <w:p w14:paraId="17257390" w14:textId="5882AA47" w:rsidR="59D84E6B" w:rsidRDefault="4684766C" w:rsidP="66F641FD">
            <w:pPr>
              <w:jc w:val="right"/>
              <w:cnfStyle w:val="000000000000" w:firstRow="0" w:lastRow="0" w:firstColumn="0" w:lastColumn="0" w:oddVBand="0" w:evenVBand="0" w:oddHBand="0" w:evenHBand="0" w:firstRowFirstColumn="0" w:firstRowLastColumn="0" w:lastRowFirstColumn="0" w:lastRowLastColumn="0"/>
            </w:pPr>
            <w:r w:rsidRPr="3850F800">
              <w:rPr>
                <w:rFonts w:eastAsia="Verdana" w:cs="Verdana"/>
                <w:sz w:val="24"/>
                <w:szCs w:val="24"/>
              </w:rPr>
              <w:t>$490.00</w:t>
            </w:r>
          </w:p>
        </w:tc>
      </w:tr>
      <w:tr w:rsidR="59D84E6B" w14:paraId="4B758902" w14:textId="77777777" w:rsidTr="242719FB">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256D6F03" w14:textId="7FF6C512" w:rsidR="59D84E6B" w:rsidRDefault="4684766C" w:rsidP="59D84E6B">
            <w:r w:rsidRPr="6DF47883">
              <w:rPr>
                <w:rFonts w:eastAsia="Verdana" w:cs="Verdana"/>
                <w:sz w:val="24"/>
                <w:szCs w:val="24"/>
              </w:rPr>
              <w:t>Level 4</w:t>
            </w:r>
          </w:p>
        </w:tc>
        <w:tc>
          <w:tcPr>
            <w:tcW w:w="3045" w:type="dxa"/>
          </w:tcPr>
          <w:p w14:paraId="6638F353" w14:textId="6E5EAE61" w:rsidR="59D84E6B" w:rsidRDefault="4684766C" w:rsidP="66F641FD">
            <w:pPr>
              <w:jc w:val="right"/>
              <w:cnfStyle w:val="000000000000" w:firstRow="0" w:lastRow="0" w:firstColumn="0" w:lastColumn="0" w:oddVBand="0" w:evenVBand="0" w:oddHBand="0" w:evenHBand="0" w:firstRowFirstColumn="0" w:firstRowLastColumn="0" w:lastRowFirstColumn="0" w:lastRowLastColumn="0"/>
            </w:pPr>
            <w:r w:rsidRPr="3E5C8608">
              <w:rPr>
                <w:rFonts w:eastAsia="Verdana" w:cs="Verdana"/>
                <w:sz w:val="24"/>
                <w:szCs w:val="24"/>
              </w:rPr>
              <w:t>$630.00</w:t>
            </w:r>
          </w:p>
        </w:tc>
      </w:tr>
      <w:tr w:rsidR="59D84E6B" w14:paraId="222B1361" w14:textId="77777777" w:rsidTr="242719FB">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141DD1F7" w14:textId="51EEC5F5" w:rsidR="59D84E6B" w:rsidRDefault="4684766C" w:rsidP="59D84E6B">
            <w:r w:rsidRPr="3E5C8608">
              <w:rPr>
                <w:rFonts w:eastAsia="Verdana" w:cs="Verdana"/>
                <w:sz w:val="24"/>
                <w:szCs w:val="24"/>
              </w:rPr>
              <w:lastRenderedPageBreak/>
              <w:t>Level 5</w:t>
            </w:r>
          </w:p>
        </w:tc>
        <w:tc>
          <w:tcPr>
            <w:tcW w:w="3045" w:type="dxa"/>
          </w:tcPr>
          <w:p w14:paraId="3131A2C4" w14:textId="71936292" w:rsidR="59D84E6B" w:rsidRDefault="4684766C" w:rsidP="66F641FD">
            <w:pPr>
              <w:jc w:val="right"/>
              <w:cnfStyle w:val="000000000000" w:firstRow="0" w:lastRow="0" w:firstColumn="0" w:lastColumn="0" w:oddVBand="0" w:evenVBand="0" w:oddHBand="0" w:evenHBand="0" w:firstRowFirstColumn="0" w:firstRowLastColumn="0" w:lastRowFirstColumn="0" w:lastRowLastColumn="0"/>
            </w:pPr>
            <w:r w:rsidRPr="3E5C8608">
              <w:rPr>
                <w:rFonts w:eastAsia="Verdana" w:cs="Verdana"/>
                <w:sz w:val="24"/>
                <w:szCs w:val="24"/>
              </w:rPr>
              <w:t>$730.00</w:t>
            </w:r>
          </w:p>
        </w:tc>
      </w:tr>
      <w:tr w:rsidR="59D84E6B" w14:paraId="590CF8FC" w14:textId="77777777" w:rsidTr="242719FB">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1A987EDC" w14:textId="1024B6E5" w:rsidR="59D84E6B" w:rsidRDefault="4684766C" w:rsidP="59D84E6B">
            <w:r w:rsidRPr="2832AACA">
              <w:rPr>
                <w:rFonts w:eastAsia="Verdana" w:cs="Verdana"/>
                <w:sz w:val="24"/>
                <w:szCs w:val="24"/>
              </w:rPr>
              <w:t>Level 6</w:t>
            </w:r>
          </w:p>
        </w:tc>
        <w:tc>
          <w:tcPr>
            <w:tcW w:w="3045" w:type="dxa"/>
          </w:tcPr>
          <w:p w14:paraId="25FDD4D1" w14:textId="094D8C16" w:rsidR="59D84E6B" w:rsidRDefault="4684766C" w:rsidP="66F641FD">
            <w:pPr>
              <w:jc w:val="right"/>
              <w:cnfStyle w:val="000000000000" w:firstRow="0" w:lastRow="0" w:firstColumn="0" w:lastColumn="0" w:oddVBand="0" w:evenVBand="0" w:oddHBand="0" w:evenHBand="0" w:firstRowFirstColumn="0" w:firstRowLastColumn="0" w:lastRowFirstColumn="0" w:lastRowLastColumn="0"/>
            </w:pPr>
            <w:r w:rsidRPr="2832AACA">
              <w:rPr>
                <w:rFonts w:eastAsia="Verdana" w:cs="Verdana"/>
                <w:sz w:val="24"/>
                <w:szCs w:val="24"/>
              </w:rPr>
              <w:t>$840.00</w:t>
            </w:r>
          </w:p>
        </w:tc>
      </w:tr>
      <w:tr w:rsidR="59D84E6B" w14:paraId="7EA6AD75" w14:textId="77777777" w:rsidTr="242719FB">
        <w:trPr>
          <w:trHeight w:val="300"/>
        </w:trPr>
        <w:tc>
          <w:tcPr>
            <w:cnfStyle w:val="001000000000" w:firstRow="0" w:lastRow="0" w:firstColumn="1" w:lastColumn="0" w:oddVBand="0" w:evenVBand="0" w:oddHBand="0" w:evenHBand="0" w:firstRowFirstColumn="0" w:firstRowLastColumn="0" w:lastRowFirstColumn="0" w:lastRowLastColumn="0"/>
            <w:tcW w:w="5280" w:type="dxa"/>
            <w:gridSpan w:val="2"/>
            <w:shd w:val="clear" w:color="auto" w:fill="DBE5F1" w:themeFill="accent1" w:themeFillTint="33"/>
          </w:tcPr>
          <w:p w14:paraId="66D07076" w14:textId="76A2D4EC" w:rsidR="59D84E6B" w:rsidRDefault="4684766C" w:rsidP="59D84E6B">
            <w:pPr>
              <w:rPr>
                <w:sz w:val="24"/>
                <w:szCs w:val="24"/>
              </w:rPr>
            </w:pPr>
            <w:r w:rsidRPr="619CA4C3">
              <w:rPr>
                <w:sz w:val="24"/>
                <w:szCs w:val="24"/>
              </w:rPr>
              <w:t>Southern</w:t>
            </w:r>
          </w:p>
        </w:tc>
      </w:tr>
      <w:tr w:rsidR="59D84E6B" w14:paraId="69D7F227" w14:textId="77777777" w:rsidTr="242719FB">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5A94F827" w14:textId="409C93E7" w:rsidR="59D84E6B" w:rsidRDefault="4684766C" w:rsidP="59D84E6B">
            <w:r w:rsidRPr="656B12FB">
              <w:rPr>
                <w:rFonts w:eastAsia="Verdana" w:cs="Verdana"/>
                <w:sz w:val="24"/>
                <w:szCs w:val="24"/>
              </w:rPr>
              <w:t xml:space="preserve">Level 1  </w:t>
            </w:r>
            <w:r w:rsidRPr="58093C30">
              <w:rPr>
                <w:rFonts w:eastAsia="Verdana" w:cs="Verdana"/>
                <w:sz w:val="24"/>
                <w:szCs w:val="24"/>
              </w:rPr>
              <w:t xml:space="preserve">  </w:t>
            </w:r>
            <w:r w:rsidRPr="48B19568">
              <w:rPr>
                <w:rFonts w:eastAsia="Verdana" w:cs="Verdana"/>
                <w:sz w:val="24"/>
                <w:szCs w:val="24"/>
              </w:rPr>
              <w:t xml:space="preserve">  </w:t>
            </w:r>
            <w:r w:rsidRPr="656B12FB">
              <w:rPr>
                <w:rFonts w:eastAsia="Verdana" w:cs="Verdana"/>
                <w:sz w:val="24"/>
                <w:szCs w:val="24"/>
              </w:rPr>
              <w:t xml:space="preserve"> </w:t>
            </w:r>
            <w:r w:rsidRPr="61F92CF0">
              <w:rPr>
                <w:rFonts w:eastAsia="Verdana" w:cs="Verdana"/>
                <w:sz w:val="24"/>
                <w:szCs w:val="24"/>
              </w:rPr>
              <w:t xml:space="preserve">  </w:t>
            </w:r>
            <w:r w:rsidRPr="656B12FB">
              <w:rPr>
                <w:rFonts w:eastAsia="Verdana" w:cs="Verdana"/>
                <w:sz w:val="24"/>
                <w:szCs w:val="24"/>
              </w:rPr>
              <w:t xml:space="preserve">  </w:t>
            </w:r>
          </w:p>
        </w:tc>
        <w:tc>
          <w:tcPr>
            <w:tcW w:w="3045" w:type="dxa"/>
          </w:tcPr>
          <w:p w14:paraId="7F18901B" w14:textId="6C5BBA0B" w:rsidR="59D84E6B" w:rsidRDefault="4684766C" w:rsidP="66F641FD">
            <w:pPr>
              <w:jc w:val="right"/>
              <w:cnfStyle w:val="000000000000" w:firstRow="0" w:lastRow="0" w:firstColumn="0" w:lastColumn="0" w:oddVBand="0" w:evenVBand="0" w:oddHBand="0" w:evenHBand="0" w:firstRowFirstColumn="0" w:firstRowLastColumn="0" w:lastRowFirstColumn="0" w:lastRowLastColumn="0"/>
            </w:pPr>
            <w:r w:rsidRPr="58093C30">
              <w:rPr>
                <w:rFonts w:eastAsia="Verdana" w:cs="Verdana"/>
                <w:sz w:val="24"/>
                <w:szCs w:val="24"/>
              </w:rPr>
              <w:t>$310.00</w:t>
            </w:r>
          </w:p>
        </w:tc>
      </w:tr>
      <w:tr w:rsidR="59D84E6B" w14:paraId="40CD6104" w14:textId="77777777" w:rsidTr="242719FB">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3D8B2246" w14:textId="3B99B286" w:rsidR="59D84E6B" w:rsidRDefault="4684766C" w:rsidP="59D84E6B">
            <w:r w:rsidRPr="58093C30">
              <w:rPr>
                <w:rFonts w:eastAsia="Verdana" w:cs="Verdana"/>
                <w:sz w:val="24"/>
                <w:szCs w:val="24"/>
              </w:rPr>
              <w:t>Level 2</w:t>
            </w:r>
          </w:p>
        </w:tc>
        <w:tc>
          <w:tcPr>
            <w:tcW w:w="3045" w:type="dxa"/>
          </w:tcPr>
          <w:p w14:paraId="2A9EE53C" w14:textId="288769B2" w:rsidR="59D84E6B" w:rsidRDefault="4684766C" w:rsidP="66F641FD">
            <w:pPr>
              <w:jc w:val="right"/>
              <w:cnfStyle w:val="000000000000" w:firstRow="0" w:lastRow="0" w:firstColumn="0" w:lastColumn="0" w:oddVBand="0" w:evenVBand="0" w:oddHBand="0" w:evenHBand="0" w:firstRowFirstColumn="0" w:firstRowLastColumn="0" w:lastRowFirstColumn="0" w:lastRowLastColumn="0"/>
            </w:pPr>
            <w:r w:rsidRPr="58093C30">
              <w:rPr>
                <w:rFonts w:eastAsia="Verdana" w:cs="Verdana"/>
                <w:sz w:val="24"/>
                <w:szCs w:val="24"/>
              </w:rPr>
              <w:t>$390.00</w:t>
            </w:r>
          </w:p>
        </w:tc>
      </w:tr>
      <w:tr w:rsidR="59D84E6B" w14:paraId="14D2439E" w14:textId="77777777" w:rsidTr="242719FB">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05918706" w14:textId="34092020" w:rsidR="59D84E6B" w:rsidRDefault="4684766C" w:rsidP="59D84E6B">
            <w:r w:rsidRPr="48B19568">
              <w:rPr>
                <w:rFonts w:eastAsia="Verdana" w:cs="Verdana"/>
                <w:sz w:val="24"/>
                <w:szCs w:val="24"/>
              </w:rPr>
              <w:t>Level 3</w:t>
            </w:r>
          </w:p>
        </w:tc>
        <w:tc>
          <w:tcPr>
            <w:tcW w:w="3045" w:type="dxa"/>
          </w:tcPr>
          <w:p w14:paraId="6523A390" w14:textId="68C96E9F" w:rsidR="59D84E6B" w:rsidRDefault="4684766C" w:rsidP="66F641FD">
            <w:pPr>
              <w:jc w:val="right"/>
              <w:cnfStyle w:val="000000000000" w:firstRow="0" w:lastRow="0" w:firstColumn="0" w:lastColumn="0" w:oddVBand="0" w:evenVBand="0" w:oddHBand="0" w:evenHBand="0" w:firstRowFirstColumn="0" w:firstRowLastColumn="0" w:lastRowFirstColumn="0" w:lastRowLastColumn="0"/>
            </w:pPr>
            <w:r w:rsidRPr="45E8CA9C">
              <w:rPr>
                <w:rFonts w:eastAsia="Verdana" w:cs="Verdana"/>
                <w:sz w:val="24"/>
                <w:szCs w:val="24"/>
              </w:rPr>
              <w:t>$480.00</w:t>
            </w:r>
          </w:p>
        </w:tc>
      </w:tr>
      <w:tr w:rsidR="59D84E6B" w14:paraId="3BB3C902" w14:textId="77777777" w:rsidTr="242719FB">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50C2E5D9" w14:textId="6525FCD3" w:rsidR="59D84E6B" w:rsidRDefault="4684766C" w:rsidP="59D84E6B">
            <w:r w:rsidRPr="61F92CF0">
              <w:rPr>
                <w:rFonts w:eastAsia="Verdana" w:cs="Verdana"/>
                <w:sz w:val="24"/>
                <w:szCs w:val="24"/>
              </w:rPr>
              <w:t>Level 4</w:t>
            </w:r>
          </w:p>
        </w:tc>
        <w:tc>
          <w:tcPr>
            <w:tcW w:w="3045" w:type="dxa"/>
          </w:tcPr>
          <w:p w14:paraId="62F6F762" w14:textId="64909A2F" w:rsidR="59D84E6B" w:rsidRDefault="4684766C" w:rsidP="66F641FD">
            <w:pPr>
              <w:jc w:val="right"/>
              <w:cnfStyle w:val="000000000000" w:firstRow="0" w:lastRow="0" w:firstColumn="0" w:lastColumn="0" w:oddVBand="0" w:evenVBand="0" w:oddHBand="0" w:evenHBand="0" w:firstRowFirstColumn="0" w:firstRowLastColumn="0" w:lastRowFirstColumn="0" w:lastRowLastColumn="0"/>
            </w:pPr>
            <w:r w:rsidRPr="61F92CF0">
              <w:rPr>
                <w:rFonts w:eastAsia="Verdana" w:cs="Verdana"/>
                <w:sz w:val="24"/>
                <w:szCs w:val="24"/>
              </w:rPr>
              <w:t>$660.00</w:t>
            </w:r>
          </w:p>
        </w:tc>
      </w:tr>
      <w:tr w:rsidR="59D84E6B" w14:paraId="07DDB33C" w14:textId="77777777" w:rsidTr="242719FB">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79BAA5D6" w14:textId="78AADCAE" w:rsidR="59D84E6B" w:rsidRDefault="4684766C" w:rsidP="59D84E6B">
            <w:r w:rsidRPr="61F92CF0">
              <w:rPr>
                <w:rFonts w:eastAsia="Verdana" w:cs="Verdana"/>
                <w:sz w:val="24"/>
                <w:szCs w:val="24"/>
              </w:rPr>
              <w:t>Level 5</w:t>
            </w:r>
          </w:p>
        </w:tc>
        <w:tc>
          <w:tcPr>
            <w:tcW w:w="3045" w:type="dxa"/>
          </w:tcPr>
          <w:p w14:paraId="4655A17E" w14:textId="53B566A9" w:rsidR="59D84E6B" w:rsidRDefault="4684766C" w:rsidP="66F641FD">
            <w:pPr>
              <w:jc w:val="right"/>
              <w:cnfStyle w:val="000000000000" w:firstRow="0" w:lastRow="0" w:firstColumn="0" w:lastColumn="0" w:oddVBand="0" w:evenVBand="0" w:oddHBand="0" w:evenHBand="0" w:firstRowFirstColumn="0" w:firstRowLastColumn="0" w:lastRowFirstColumn="0" w:lastRowLastColumn="0"/>
            </w:pPr>
            <w:r w:rsidRPr="61F92CF0">
              <w:rPr>
                <w:rFonts w:eastAsia="Verdana" w:cs="Verdana"/>
                <w:sz w:val="24"/>
                <w:szCs w:val="24"/>
              </w:rPr>
              <w:t>$810.00</w:t>
            </w:r>
          </w:p>
        </w:tc>
      </w:tr>
      <w:tr w:rsidR="59D84E6B" w14:paraId="736E5DDD" w14:textId="77777777" w:rsidTr="242719FB">
        <w:trPr>
          <w:trHeight w:val="300"/>
        </w:trPr>
        <w:tc>
          <w:tcPr>
            <w:cnfStyle w:val="001000000000" w:firstRow="0" w:lastRow="0" w:firstColumn="1" w:lastColumn="0" w:oddVBand="0" w:evenVBand="0" w:oddHBand="0" w:evenHBand="0" w:firstRowFirstColumn="0" w:firstRowLastColumn="0" w:lastRowFirstColumn="0" w:lastRowLastColumn="0"/>
            <w:tcW w:w="2235" w:type="dxa"/>
          </w:tcPr>
          <w:p w14:paraId="6C7EAE50" w14:textId="5EFF61BC" w:rsidR="59D84E6B" w:rsidRDefault="4684766C" w:rsidP="59D84E6B">
            <w:r w:rsidRPr="08FD2382">
              <w:rPr>
                <w:rFonts w:eastAsia="Verdana" w:cs="Verdana"/>
                <w:sz w:val="24"/>
                <w:szCs w:val="24"/>
              </w:rPr>
              <w:t>Level 6</w:t>
            </w:r>
          </w:p>
        </w:tc>
        <w:tc>
          <w:tcPr>
            <w:tcW w:w="3045" w:type="dxa"/>
          </w:tcPr>
          <w:p w14:paraId="4149082B" w14:textId="4FC7A7E3" w:rsidR="59D84E6B" w:rsidRDefault="4684766C" w:rsidP="66F641FD">
            <w:pPr>
              <w:jc w:val="right"/>
              <w:cnfStyle w:val="000000000000" w:firstRow="0" w:lastRow="0" w:firstColumn="0" w:lastColumn="0" w:oddVBand="0" w:evenVBand="0" w:oddHBand="0" w:evenHBand="0" w:firstRowFirstColumn="0" w:firstRowLastColumn="0" w:lastRowFirstColumn="0" w:lastRowLastColumn="0"/>
            </w:pPr>
            <w:r w:rsidRPr="7CEBC49B">
              <w:rPr>
                <w:rFonts w:eastAsia="Verdana" w:cs="Verdana"/>
                <w:sz w:val="24"/>
                <w:szCs w:val="24"/>
              </w:rPr>
              <w:t>$910.00</w:t>
            </w:r>
          </w:p>
        </w:tc>
      </w:tr>
    </w:tbl>
    <w:p w14:paraId="55331C67" w14:textId="29A9FACD" w:rsidR="4B5639C2" w:rsidRDefault="4B5639C2"/>
    <w:p w14:paraId="19F56EB5" w14:textId="020C547A" w:rsidR="00BA55F1" w:rsidRDefault="0015105E" w:rsidP="00A01EE4">
      <w:pPr>
        <w:rPr>
          <w:sz w:val="24"/>
          <w:szCs w:val="28"/>
        </w:rPr>
      </w:pPr>
      <w:r>
        <w:rPr>
          <w:sz w:val="24"/>
          <w:szCs w:val="28"/>
        </w:rPr>
        <w:t xml:space="preserve">Please note that these are estimates only. DSS is currently undergoing a data validation exercise. These price points will be updated accordingly. </w:t>
      </w:r>
      <w:r w:rsidR="00A91328">
        <w:rPr>
          <w:sz w:val="24"/>
          <w:szCs w:val="28"/>
        </w:rPr>
        <w:t xml:space="preserve">Once DSS has completed this </w:t>
      </w:r>
      <w:r w:rsidR="00010022">
        <w:rPr>
          <w:sz w:val="24"/>
          <w:szCs w:val="28"/>
        </w:rPr>
        <w:t>exercise</w:t>
      </w:r>
      <w:r w:rsidR="00A91328">
        <w:rPr>
          <w:sz w:val="24"/>
          <w:szCs w:val="28"/>
        </w:rPr>
        <w:t xml:space="preserve">, we intend to meet with each provider and provide an updated fiscal impact assessment based on our expected contract rates. </w:t>
      </w:r>
      <w:r w:rsidR="003F159E">
        <w:rPr>
          <w:sz w:val="24"/>
          <w:szCs w:val="28"/>
        </w:rPr>
        <w:t xml:space="preserve"> </w:t>
      </w:r>
      <w:r w:rsidR="00E410B6">
        <w:rPr>
          <w:sz w:val="24"/>
          <w:szCs w:val="28"/>
        </w:rPr>
        <w:t>Further details</w:t>
      </w:r>
      <w:r w:rsidR="0079671B">
        <w:rPr>
          <w:sz w:val="24"/>
          <w:szCs w:val="28"/>
        </w:rPr>
        <w:t xml:space="preserve"> on the </w:t>
      </w:r>
      <w:hyperlink r:id="rId13" w:history="1">
        <w:r w:rsidR="0079671B" w:rsidRPr="0079671B">
          <w:rPr>
            <w:rStyle w:val="Hyperlink"/>
            <w:sz w:val="24"/>
            <w:szCs w:val="28"/>
          </w:rPr>
          <w:t>Global Pricing Tool available here</w:t>
        </w:r>
      </w:hyperlink>
      <w:r w:rsidR="00E410B6">
        <w:rPr>
          <w:sz w:val="24"/>
          <w:szCs w:val="28"/>
        </w:rPr>
        <w:t xml:space="preserve">.  </w:t>
      </w:r>
    </w:p>
    <w:p w14:paraId="782E6778" w14:textId="77777777" w:rsidR="009A4D9D" w:rsidRPr="00447970" w:rsidRDefault="009A4D9D" w:rsidP="00A01EE4">
      <w:pPr>
        <w:rPr>
          <w:sz w:val="24"/>
          <w:szCs w:val="28"/>
        </w:rPr>
      </w:pPr>
    </w:p>
    <w:p w14:paraId="7BAC8526" w14:textId="2B684FE7" w:rsidR="4755D38A" w:rsidRDefault="4755D38A" w:rsidP="00447970">
      <w:pPr>
        <w:pStyle w:val="Heading3"/>
      </w:pPr>
      <w:r w:rsidRPr="7908F274">
        <w:t>Will pay equity and sleepover payments still be coming through until new contracts come out?</w:t>
      </w:r>
    </w:p>
    <w:p w14:paraId="3F1BEFF0" w14:textId="5BCE2CDB" w:rsidR="4755D38A" w:rsidRPr="00447970" w:rsidRDefault="4755D38A" w:rsidP="00A01EE4">
      <w:pPr>
        <w:rPr>
          <w:sz w:val="24"/>
          <w:szCs w:val="28"/>
        </w:rPr>
      </w:pPr>
      <w:r w:rsidRPr="00447970">
        <w:rPr>
          <w:sz w:val="24"/>
          <w:szCs w:val="28"/>
        </w:rPr>
        <w:t xml:space="preserve">Yes. For the period 1 July to 30 November 2025, providers will be funded through current funding streams and mechanisms including: </w:t>
      </w:r>
    </w:p>
    <w:p w14:paraId="035831EE" w14:textId="66FE47A2" w:rsidR="4755D38A" w:rsidRPr="00447970" w:rsidRDefault="4755D38A" w:rsidP="00447970">
      <w:pPr>
        <w:pStyle w:val="ListParagraph"/>
        <w:numPr>
          <w:ilvl w:val="0"/>
          <w:numId w:val="38"/>
        </w:numPr>
        <w:rPr>
          <w:sz w:val="24"/>
          <w:szCs w:val="28"/>
        </w:rPr>
      </w:pPr>
      <w:r w:rsidRPr="00447970">
        <w:rPr>
          <w:sz w:val="24"/>
          <w:szCs w:val="28"/>
        </w:rPr>
        <w:t>Existing bed day rates</w:t>
      </w:r>
      <w:r w:rsidR="005C0B84">
        <w:rPr>
          <w:sz w:val="24"/>
          <w:szCs w:val="28"/>
        </w:rPr>
        <w:t>,</w:t>
      </w:r>
    </w:p>
    <w:p w14:paraId="6BB8D98F" w14:textId="440F08B0" w:rsidR="4755D38A" w:rsidRPr="00447970" w:rsidRDefault="4755D38A" w:rsidP="00447970">
      <w:pPr>
        <w:pStyle w:val="ListParagraph"/>
        <w:numPr>
          <w:ilvl w:val="0"/>
          <w:numId w:val="38"/>
        </w:numPr>
        <w:rPr>
          <w:sz w:val="24"/>
          <w:szCs w:val="28"/>
        </w:rPr>
      </w:pPr>
      <w:r w:rsidRPr="00447970">
        <w:rPr>
          <w:sz w:val="24"/>
          <w:szCs w:val="28"/>
        </w:rPr>
        <w:t>Advanced Interim Payment (AIP) top up for pay equity</w:t>
      </w:r>
      <w:r w:rsidR="005C0B84">
        <w:rPr>
          <w:sz w:val="24"/>
          <w:szCs w:val="28"/>
        </w:rPr>
        <w:t>,</w:t>
      </w:r>
    </w:p>
    <w:p w14:paraId="5BFC17DF" w14:textId="0FCD24ED" w:rsidR="4755D38A" w:rsidRPr="00447970" w:rsidRDefault="4755D38A" w:rsidP="00447970">
      <w:pPr>
        <w:pStyle w:val="ListParagraph"/>
        <w:numPr>
          <w:ilvl w:val="0"/>
          <w:numId w:val="38"/>
        </w:numPr>
        <w:rPr>
          <w:sz w:val="24"/>
          <w:szCs w:val="28"/>
        </w:rPr>
      </w:pPr>
      <w:r w:rsidRPr="00447970">
        <w:rPr>
          <w:sz w:val="24"/>
          <w:szCs w:val="28"/>
        </w:rPr>
        <w:t>Sleepover top up</w:t>
      </w:r>
      <w:r w:rsidR="005C0B84">
        <w:rPr>
          <w:sz w:val="24"/>
          <w:szCs w:val="28"/>
        </w:rPr>
        <w:t>,</w:t>
      </w:r>
    </w:p>
    <w:p w14:paraId="311296E5" w14:textId="001B584F" w:rsidR="4755D38A" w:rsidRPr="00447970" w:rsidRDefault="4755D38A" w:rsidP="00447970">
      <w:pPr>
        <w:pStyle w:val="ListParagraph"/>
        <w:numPr>
          <w:ilvl w:val="0"/>
          <w:numId w:val="38"/>
        </w:numPr>
        <w:rPr>
          <w:sz w:val="24"/>
          <w:szCs w:val="28"/>
        </w:rPr>
      </w:pPr>
      <w:r w:rsidRPr="00447970">
        <w:rPr>
          <w:sz w:val="24"/>
          <w:szCs w:val="28"/>
        </w:rPr>
        <w:t>Day Activity Contribution (DAC) allocations</w:t>
      </w:r>
      <w:r w:rsidR="005C0B84">
        <w:rPr>
          <w:sz w:val="24"/>
          <w:szCs w:val="28"/>
        </w:rPr>
        <w:t>, and</w:t>
      </w:r>
    </w:p>
    <w:p w14:paraId="63B329DC" w14:textId="64DA6711" w:rsidR="4755D38A" w:rsidRPr="005C0B84" w:rsidRDefault="4755D38A" w:rsidP="00447970">
      <w:pPr>
        <w:pStyle w:val="ListParagraph"/>
        <w:numPr>
          <w:ilvl w:val="0"/>
          <w:numId w:val="38"/>
        </w:numPr>
      </w:pPr>
      <w:r w:rsidRPr="00447970">
        <w:rPr>
          <w:sz w:val="24"/>
          <w:szCs w:val="28"/>
        </w:rPr>
        <w:t>Client contributions (no change to inclusive or exclusive status.</w:t>
      </w:r>
    </w:p>
    <w:p w14:paraId="0642BA81" w14:textId="77777777" w:rsidR="005C0B84" w:rsidRDefault="005C0B84" w:rsidP="005C0B84">
      <w:pPr>
        <w:pStyle w:val="ListParagraph"/>
      </w:pPr>
    </w:p>
    <w:p w14:paraId="3E8F342F" w14:textId="2FABDC5F" w:rsidR="4755D38A" w:rsidRDefault="4755D38A" w:rsidP="00447970">
      <w:pPr>
        <w:pStyle w:val="Heading3"/>
      </w:pPr>
      <w:r w:rsidRPr="7908F274">
        <w:t>If P</w:t>
      </w:r>
      <w:r w:rsidR="005C0B84">
        <w:t>ay Equity</w:t>
      </w:r>
      <w:r w:rsidRPr="7908F274">
        <w:t xml:space="preserve"> continues to 30 November - does that continue at historic levels or based on latest hours worked?</w:t>
      </w:r>
    </w:p>
    <w:p w14:paraId="112836BA" w14:textId="74E56361" w:rsidR="4755D38A" w:rsidRDefault="008E44B8" w:rsidP="5AC8AD5F">
      <w:pPr>
        <w:rPr>
          <w:sz w:val="24"/>
          <w:szCs w:val="24"/>
        </w:rPr>
      </w:pPr>
      <w:r w:rsidRPr="017F17DE">
        <w:rPr>
          <w:sz w:val="24"/>
          <w:szCs w:val="24"/>
        </w:rPr>
        <w:t>T</w:t>
      </w:r>
      <w:r w:rsidR="4755D38A" w:rsidRPr="017F17DE">
        <w:rPr>
          <w:sz w:val="24"/>
          <w:szCs w:val="24"/>
        </w:rPr>
        <w:t>he Operational Policy and Guidelines 2025/26</w:t>
      </w:r>
      <w:r w:rsidR="00BE5F00" w:rsidRPr="017F17DE">
        <w:rPr>
          <w:sz w:val="24"/>
          <w:szCs w:val="24"/>
        </w:rPr>
        <w:t xml:space="preserve"> was</w:t>
      </w:r>
      <w:r w:rsidR="005C0B84" w:rsidRPr="017F17DE">
        <w:rPr>
          <w:sz w:val="24"/>
          <w:szCs w:val="24"/>
        </w:rPr>
        <w:t xml:space="preserve"> released on </w:t>
      </w:r>
      <w:r w:rsidR="4755D38A" w:rsidRPr="017F17DE">
        <w:rPr>
          <w:sz w:val="24"/>
          <w:szCs w:val="24"/>
        </w:rPr>
        <w:t xml:space="preserve">1 July 2025 and </w:t>
      </w:r>
      <w:r w:rsidR="00854C59" w:rsidRPr="017F17DE">
        <w:rPr>
          <w:sz w:val="24"/>
          <w:szCs w:val="24"/>
        </w:rPr>
        <w:t>will be</w:t>
      </w:r>
      <w:r w:rsidR="4755D38A" w:rsidRPr="017F17DE">
        <w:rPr>
          <w:sz w:val="24"/>
          <w:szCs w:val="24"/>
        </w:rPr>
        <w:t xml:space="preserve"> available </w:t>
      </w:r>
      <w:r w:rsidR="00644B8E" w:rsidRPr="017F17DE">
        <w:rPr>
          <w:sz w:val="24"/>
          <w:szCs w:val="24"/>
        </w:rPr>
        <w:t xml:space="preserve">shortly </w:t>
      </w:r>
      <w:r w:rsidR="4755D38A" w:rsidRPr="017F17DE">
        <w:rPr>
          <w:sz w:val="24"/>
          <w:szCs w:val="24"/>
        </w:rPr>
        <w:t xml:space="preserve">on </w:t>
      </w:r>
      <w:r w:rsidR="054E749B" w:rsidRPr="276B7FBA">
        <w:rPr>
          <w:sz w:val="24"/>
          <w:szCs w:val="24"/>
        </w:rPr>
        <w:t xml:space="preserve">the DSS </w:t>
      </w:r>
      <w:r w:rsidR="054E749B" w:rsidRPr="017F17DE">
        <w:rPr>
          <w:sz w:val="24"/>
          <w:szCs w:val="24"/>
        </w:rPr>
        <w:t xml:space="preserve">website. </w:t>
      </w:r>
    </w:p>
    <w:p w14:paraId="29B619A5" w14:textId="4BAC0874" w:rsidR="00244EB9" w:rsidRPr="00244EB9" w:rsidRDefault="00244EB9" w:rsidP="00244EB9">
      <w:pPr>
        <w:rPr>
          <w:sz w:val="24"/>
          <w:szCs w:val="28"/>
        </w:rPr>
      </w:pPr>
      <w:r w:rsidRPr="00244EB9">
        <w:rPr>
          <w:sz w:val="24"/>
          <w:szCs w:val="28"/>
        </w:rPr>
        <w:lastRenderedPageBreak/>
        <w:t>Current pay equity payments will continue to be made to providers monthly through to December at the existing rates.</w:t>
      </w:r>
    </w:p>
    <w:p w14:paraId="4A029CDE" w14:textId="5F348FF5" w:rsidR="00244EB9" w:rsidRPr="00244EB9" w:rsidRDefault="00244EB9" w:rsidP="00244EB9">
      <w:pPr>
        <w:rPr>
          <w:sz w:val="24"/>
          <w:szCs w:val="28"/>
        </w:rPr>
      </w:pPr>
      <w:r w:rsidRPr="00244EB9">
        <w:rPr>
          <w:sz w:val="24"/>
          <w:szCs w:val="28"/>
        </w:rPr>
        <w:t>Any increases that providers receive as advance payments have been calculated on basis that they will continue to receive their current pay equity payments (</w:t>
      </w:r>
      <w:r w:rsidR="00A77D2C" w:rsidRPr="00244EB9">
        <w:rPr>
          <w:sz w:val="24"/>
          <w:szCs w:val="28"/>
        </w:rPr>
        <w:t>i.e.</w:t>
      </w:r>
      <w:r w:rsidRPr="00244EB9">
        <w:rPr>
          <w:sz w:val="24"/>
          <w:szCs w:val="28"/>
        </w:rPr>
        <w:t xml:space="preserve"> The interim payments are the total estimated rate under the new model from 1 July to 30 November, minus the current day rate, sleepover rate, and pay equity rate, all of which continue).</w:t>
      </w:r>
    </w:p>
    <w:p w14:paraId="6148C6E4" w14:textId="1C2D96DC" w:rsidR="00244EB9" w:rsidRPr="00244EB9" w:rsidRDefault="00244EB9" w:rsidP="00244EB9">
      <w:pPr>
        <w:rPr>
          <w:sz w:val="24"/>
          <w:szCs w:val="28"/>
        </w:rPr>
      </w:pPr>
      <w:r w:rsidRPr="00244EB9">
        <w:rPr>
          <w:sz w:val="24"/>
          <w:szCs w:val="28"/>
        </w:rPr>
        <w:t xml:space="preserve">From 1 December, pay equity rates will be included in a single payment structure. </w:t>
      </w:r>
    </w:p>
    <w:p w14:paraId="4002F54A" w14:textId="75FC8470" w:rsidR="00244EB9" w:rsidRPr="00244EB9" w:rsidRDefault="00244EB9" w:rsidP="00244EB9">
      <w:pPr>
        <w:rPr>
          <w:sz w:val="24"/>
          <w:szCs w:val="28"/>
        </w:rPr>
      </w:pPr>
      <w:r w:rsidRPr="00244EB9">
        <w:rPr>
          <w:sz w:val="24"/>
          <w:szCs w:val="28"/>
        </w:rPr>
        <w:t xml:space="preserve">The previous wage rates set in the Support Workers (Pay Equity) Settlements Act 2017 have not been updated. </w:t>
      </w:r>
    </w:p>
    <w:p w14:paraId="4C88F744" w14:textId="6982D560" w:rsidR="00244EB9" w:rsidRPr="00244EB9" w:rsidRDefault="00244EB9" w:rsidP="00244EB9">
      <w:pPr>
        <w:rPr>
          <w:sz w:val="24"/>
          <w:szCs w:val="28"/>
        </w:rPr>
      </w:pPr>
      <w:r w:rsidRPr="00244EB9">
        <w:rPr>
          <w:sz w:val="24"/>
          <w:szCs w:val="28"/>
        </w:rPr>
        <w:t>DSS has modelled labour costs based on the last set of support worker wage rates from the 2024 tripartite agreement.  This is the current AIP rate and the cost associated has been provided for ion the new pricing model.</w:t>
      </w:r>
    </w:p>
    <w:p w14:paraId="262626A4" w14:textId="5A763590" w:rsidR="00244EB9" w:rsidRDefault="00244EB9" w:rsidP="00244EB9">
      <w:pPr>
        <w:rPr>
          <w:sz w:val="24"/>
          <w:szCs w:val="28"/>
        </w:rPr>
      </w:pPr>
      <w:r w:rsidRPr="00244EB9">
        <w:rPr>
          <w:sz w:val="24"/>
          <w:szCs w:val="28"/>
        </w:rPr>
        <w:t>DSS will be in touch with each provider shortly to book time to discuss how the model calculates the costs and banded rates, and the transition payments where relevant.</w:t>
      </w:r>
    </w:p>
    <w:p w14:paraId="2D5A6DFB" w14:textId="77777777" w:rsidR="005C0B84" w:rsidRDefault="005C0B84" w:rsidP="5AC8AD5F"/>
    <w:p w14:paraId="221786A0" w14:textId="24655AA5" w:rsidR="4755D38A" w:rsidRDefault="003056C7" w:rsidP="00447970">
      <w:pPr>
        <w:pStyle w:val="Heading3"/>
      </w:pPr>
      <w:r>
        <w:t>Why do the banded rates include client contributions?</w:t>
      </w:r>
    </w:p>
    <w:p w14:paraId="6722D064" w14:textId="12471305" w:rsidR="7908F274" w:rsidRDefault="00D150BC" w:rsidP="00447970">
      <w:pPr>
        <w:rPr>
          <w:sz w:val="24"/>
          <w:szCs w:val="28"/>
        </w:rPr>
      </w:pPr>
      <w:r>
        <w:rPr>
          <w:sz w:val="24"/>
          <w:szCs w:val="28"/>
        </w:rPr>
        <w:t xml:space="preserve">Most people in residential care are eligible for a benefit. We </w:t>
      </w:r>
      <w:r w:rsidR="4755D38A" w:rsidRPr="00447970">
        <w:rPr>
          <w:sz w:val="24"/>
          <w:szCs w:val="28"/>
        </w:rPr>
        <w:t xml:space="preserve">wanted to move to a nationally consistent treatment of client contribution and considered both inclusive and exclusive. Client contribution inclusive arrangements give better visibility on the total funding a provider will receive for supporting a particular person. </w:t>
      </w:r>
      <w:r w:rsidR="00070727">
        <w:rPr>
          <w:sz w:val="24"/>
          <w:szCs w:val="28"/>
        </w:rPr>
        <w:t>It</w:t>
      </w:r>
      <w:r w:rsidR="00F93224">
        <w:rPr>
          <w:sz w:val="24"/>
          <w:szCs w:val="28"/>
        </w:rPr>
        <w:t xml:space="preserve"> is a current requirement </w:t>
      </w:r>
      <w:r w:rsidR="005260F5">
        <w:rPr>
          <w:sz w:val="24"/>
          <w:szCs w:val="28"/>
        </w:rPr>
        <w:t>in the existing service specification</w:t>
      </w:r>
      <w:r w:rsidR="00070727">
        <w:rPr>
          <w:sz w:val="24"/>
          <w:szCs w:val="28"/>
        </w:rPr>
        <w:t xml:space="preserve"> that all Community Group Homes access </w:t>
      </w:r>
      <w:r w:rsidR="00485A46">
        <w:rPr>
          <w:sz w:val="24"/>
          <w:szCs w:val="28"/>
        </w:rPr>
        <w:t>client contributions through MSD’s R</w:t>
      </w:r>
      <w:r w:rsidR="009C6BAD">
        <w:rPr>
          <w:sz w:val="24"/>
          <w:szCs w:val="28"/>
        </w:rPr>
        <w:t>esidential Support Subsidy (RSS)</w:t>
      </w:r>
      <w:r w:rsidR="005D7FC7">
        <w:rPr>
          <w:sz w:val="24"/>
          <w:szCs w:val="28"/>
        </w:rPr>
        <w:t xml:space="preserve">. </w:t>
      </w:r>
    </w:p>
    <w:p w14:paraId="38627CFD" w14:textId="2741B164" w:rsidR="00B56F0B" w:rsidRDefault="00B56F0B" w:rsidP="00447970"/>
    <w:p w14:paraId="72F76F4B" w14:textId="6E2877AA" w:rsidR="00B56F0B" w:rsidRDefault="00047B80" w:rsidP="00447970">
      <w:pPr>
        <w:rPr>
          <w:b/>
          <w:sz w:val="24"/>
          <w:szCs w:val="24"/>
        </w:rPr>
      </w:pPr>
      <w:r w:rsidRPr="39402DF5">
        <w:rPr>
          <w:b/>
          <w:sz w:val="24"/>
          <w:szCs w:val="24"/>
        </w:rPr>
        <w:t xml:space="preserve">What is the </w:t>
      </w:r>
      <w:r w:rsidRPr="7991B2CA">
        <w:rPr>
          <w:b/>
          <w:bCs/>
          <w:sz w:val="24"/>
          <w:szCs w:val="24"/>
        </w:rPr>
        <w:t>relationship</w:t>
      </w:r>
      <w:r w:rsidRPr="39402DF5">
        <w:rPr>
          <w:b/>
          <w:sz w:val="24"/>
          <w:szCs w:val="24"/>
        </w:rPr>
        <w:t xml:space="preserve"> between </w:t>
      </w:r>
      <w:r w:rsidR="0B061089" w:rsidRPr="39402DF5">
        <w:rPr>
          <w:b/>
          <w:sz w:val="24"/>
          <w:szCs w:val="24"/>
        </w:rPr>
        <w:t xml:space="preserve">the client contributions </w:t>
      </w:r>
      <w:r w:rsidR="7351C808" w:rsidRPr="39402DF5">
        <w:rPr>
          <w:b/>
          <w:sz w:val="24"/>
          <w:szCs w:val="24"/>
        </w:rPr>
        <w:t>inclusive</w:t>
      </w:r>
      <w:r w:rsidR="0B061089" w:rsidRPr="39402DF5">
        <w:rPr>
          <w:b/>
          <w:sz w:val="24"/>
          <w:szCs w:val="24"/>
        </w:rPr>
        <w:t xml:space="preserve"> component of the Community Group Home Pricing Model and the </w:t>
      </w:r>
      <w:r w:rsidRPr="39402DF5">
        <w:rPr>
          <w:b/>
          <w:sz w:val="24"/>
          <w:szCs w:val="24"/>
        </w:rPr>
        <w:t xml:space="preserve">Residential </w:t>
      </w:r>
      <w:r w:rsidR="3F1460EE" w:rsidRPr="39402DF5">
        <w:rPr>
          <w:b/>
          <w:sz w:val="24"/>
          <w:szCs w:val="24"/>
        </w:rPr>
        <w:t xml:space="preserve">Support </w:t>
      </w:r>
      <w:r w:rsidR="5E10E2F7" w:rsidRPr="39402DF5">
        <w:rPr>
          <w:b/>
          <w:sz w:val="24"/>
          <w:szCs w:val="24"/>
        </w:rPr>
        <w:t>Subs</w:t>
      </w:r>
      <w:r w:rsidR="3CCA5B33" w:rsidRPr="39402DF5">
        <w:rPr>
          <w:b/>
          <w:sz w:val="24"/>
          <w:szCs w:val="24"/>
        </w:rPr>
        <w:t>idy</w:t>
      </w:r>
      <w:r w:rsidR="49877D50" w:rsidRPr="39402DF5">
        <w:rPr>
          <w:b/>
          <w:sz w:val="24"/>
          <w:szCs w:val="24"/>
        </w:rPr>
        <w:t xml:space="preserve"> (RSS)</w:t>
      </w:r>
      <w:r w:rsidR="3CCA5B33" w:rsidRPr="39402DF5">
        <w:rPr>
          <w:b/>
          <w:sz w:val="24"/>
          <w:szCs w:val="24"/>
        </w:rPr>
        <w:t>?</w:t>
      </w:r>
    </w:p>
    <w:p w14:paraId="04F92CF2" w14:textId="2B68437F" w:rsidR="3F89D6CD" w:rsidRDefault="65FC19A3">
      <w:pPr>
        <w:rPr>
          <w:sz w:val="24"/>
          <w:szCs w:val="24"/>
        </w:rPr>
      </w:pPr>
      <w:r w:rsidRPr="0CBB05CB">
        <w:rPr>
          <w:sz w:val="24"/>
          <w:szCs w:val="24"/>
        </w:rPr>
        <w:t xml:space="preserve">DSS has </w:t>
      </w:r>
      <w:r w:rsidR="34EA8CCF" w:rsidRPr="06DFA3FB">
        <w:rPr>
          <w:sz w:val="24"/>
          <w:szCs w:val="24"/>
        </w:rPr>
        <w:t>built</w:t>
      </w:r>
      <w:r w:rsidR="34EA8CCF" w:rsidRPr="48FE46AB">
        <w:rPr>
          <w:sz w:val="24"/>
          <w:szCs w:val="24"/>
        </w:rPr>
        <w:t xml:space="preserve"> in</w:t>
      </w:r>
      <w:r w:rsidRPr="0CBB05CB">
        <w:rPr>
          <w:sz w:val="24"/>
          <w:szCs w:val="24"/>
        </w:rPr>
        <w:t xml:space="preserve"> the Residential Support Subsidy (RSS) </w:t>
      </w:r>
      <w:r w:rsidRPr="23B126B1">
        <w:rPr>
          <w:sz w:val="24"/>
          <w:szCs w:val="24"/>
        </w:rPr>
        <w:t>in</w:t>
      </w:r>
      <w:r w:rsidR="186B26CB" w:rsidRPr="23B126B1">
        <w:rPr>
          <w:sz w:val="24"/>
          <w:szCs w:val="24"/>
        </w:rPr>
        <w:t>to</w:t>
      </w:r>
      <w:r w:rsidRPr="0CBB05CB">
        <w:rPr>
          <w:sz w:val="24"/>
          <w:szCs w:val="24"/>
        </w:rPr>
        <w:t xml:space="preserve"> the Community Group Home Pricing Model</w:t>
      </w:r>
      <w:r w:rsidR="162983E4" w:rsidRPr="06DFA3FB">
        <w:rPr>
          <w:sz w:val="24"/>
          <w:szCs w:val="24"/>
        </w:rPr>
        <w:t xml:space="preserve">. </w:t>
      </w:r>
      <w:r w:rsidR="162983E4" w:rsidRPr="776784C4">
        <w:rPr>
          <w:sz w:val="24"/>
          <w:szCs w:val="24"/>
        </w:rPr>
        <w:t>It has always been</w:t>
      </w:r>
      <w:r w:rsidRPr="0CBB05CB">
        <w:rPr>
          <w:sz w:val="24"/>
          <w:szCs w:val="24"/>
        </w:rPr>
        <w:t xml:space="preserve"> </w:t>
      </w:r>
      <w:r w:rsidR="162983E4" w:rsidRPr="3073A578">
        <w:rPr>
          <w:sz w:val="24"/>
          <w:szCs w:val="24"/>
        </w:rPr>
        <w:t xml:space="preserve">a </w:t>
      </w:r>
      <w:r w:rsidRPr="0CBB05CB">
        <w:rPr>
          <w:sz w:val="24"/>
          <w:szCs w:val="24"/>
        </w:rPr>
        <w:t xml:space="preserve">requirement in the service specification for providers to claim this from the </w:t>
      </w:r>
      <w:r w:rsidR="3F2E1BE5" w:rsidRPr="3073A578">
        <w:rPr>
          <w:sz w:val="24"/>
          <w:szCs w:val="24"/>
        </w:rPr>
        <w:t>Ministry</w:t>
      </w:r>
      <w:r w:rsidRPr="0CBB05CB">
        <w:rPr>
          <w:sz w:val="24"/>
          <w:szCs w:val="24"/>
        </w:rPr>
        <w:t xml:space="preserve"> of </w:t>
      </w:r>
      <w:r w:rsidRPr="0CBB05CB">
        <w:rPr>
          <w:sz w:val="24"/>
          <w:szCs w:val="24"/>
        </w:rPr>
        <w:lastRenderedPageBreak/>
        <w:t>Social Development Work &amp; Income</w:t>
      </w:r>
      <w:r w:rsidR="1AB1BCEC" w:rsidRPr="0CBB05CB">
        <w:rPr>
          <w:sz w:val="24"/>
          <w:szCs w:val="24"/>
        </w:rPr>
        <w:t xml:space="preserve">. This requirement has not changed in this contract. </w:t>
      </w:r>
    </w:p>
    <w:p w14:paraId="75D78171" w14:textId="77777777" w:rsidR="00B544C5" w:rsidRDefault="00B544C5" w:rsidP="00447970"/>
    <w:p w14:paraId="6E6EB0E4" w14:textId="01B8A688" w:rsidR="4755D38A" w:rsidRDefault="4755D38A" w:rsidP="00447970">
      <w:pPr>
        <w:pStyle w:val="Heading2"/>
      </w:pPr>
      <w:r w:rsidRPr="5AC8AD5F">
        <w:t>I</w:t>
      </w:r>
      <w:r w:rsidR="005C0B84">
        <w:t xml:space="preserve">mplementation </w:t>
      </w:r>
    </w:p>
    <w:p w14:paraId="18336C98" w14:textId="395324E1" w:rsidR="4755D38A" w:rsidRDefault="003056C7" w:rsidP="00447970">
      <w:pPr>
        <w:pStyle w:val="Heading3"/>
      </w:pPr>
      <w:r>
        <w:t>Do the new bands apply now?</w:t>
      </w:r>
    </w:p>
    <w:p w14:paraId="5DD81CB7" w14:textId="30F84210" w:rsidR="4755D38A" w:rsidRDefault="005C0B84" w:rsidP="003056C7">
      <w:pPr>
        <w:rPr>
          <w:sz w:val="24"/>
          <w:szCs w:val="28"/>
        </w:rPr>
      </w:pPr>
      <w:r>
        <w:rPr>
          <w:sz w:val="24"/>
          <w:szCs w:val="28"/>
        </w:rPr>
        <w:t>New</w:t>
      </w:r>
      <w:r w:rsidR="4755D38A" w:rsidRPr="00447970">
        <w:rPr>
          <w:sz w:val="24"/>
          <w:szCs w:val="28"/>
        </w:rPr>
        <w:t xml:space="preserve"> contracts and system changes to administer the pricing model will </w:t>
      </w:r>
      <w:r>
        <w:rPr>
          <w:sz w:val="24"/>
          <w:szCs w:val="28"/>
        </w:rPr>
        <w:t>come into</w:t>
      </w:r>
      <w:r w:rsidR="4755D38A" w:rsidRPr="00447970">
        <w:rPr>
          <w:sz w:val="24"/>
          <w:szCs w:val="28"/>
        </w:rPr>
        <w:t xml:space="preserve"> effect </w:t>
      </w:r>
      <w:r>
        <w:rPr>
          <w:sz w:val="24"/>
          <w:szCs w:val="28"/>
        </w:rPr>
        <w:t>from</w:t>
      </w:r>
      <w:r w:rsidR="4755D38A" w:rsidRPr="00447970">
        <w:rPr>
          <w:sz w:val="24"/>
          <w:szCs w:val="28"/>
        </w:rPr>
        <w:t xml:space="preserve"> 1 December 2025.</w:t>
      </w:r>
    </w:p>
    <w:p w14:paraId="2DB52193" w14:textId="77777777" w:rsidR="005C0B84" w:rsidRDefault="005C0B84" w:rsidP="00447970">
      <w:pPr>
        <w:pStyle w:val="Heading3"/>
      </w:pPr>
    </w:p>
    <w:p w14:paraId="05BA2970" w14:textId="3F0B4078" w:rsidR="4755D38A" w:rsidRDefault="4755D38A" w:rsidP="00447970">
      <w:pPr>
        <w:pStyle w:val="Heading3"/>
      </w:pPr>
      <w:r w:rsidRPr="7908F274">
        <w:t xml:space="preserve">Is it business as usual for NASCs </w:t>
      </w:r>
      <w:proofErr w:type="gramStart"/>
      <w:r w:rsidRPr="7908F274">
        <w:t>in regard to</w:t>
      </w:r>
      <w:proofErr w:type="gramEnd"/>
      <w:r w:rsidRPr="7908F274">
        <w:t xml:space="preserve"> client reviews on either bands or INDR rates until </w:t>
      </w:r>
      <w:r w:rsidR="007517B4">
        <w:t>December</w:t>
      </w:r>
      <w:r w:rsidRPr="7908F274">
        <w:t>?</w:t>
      </w:r>
    </w:p>
    <w:p w14:paraId="51D46D00" w14:textId="1318A00E" w:rsidR="4755D38A" w:rsidRPr="00447970" w:rsidRDefault="4755D38A" w:rsidP="007517B4">
      <w:pPr>
        <w:rPr>
          <w:sz w:val="24"/>
          <w:szCs w:val="28"/>
        </w:rPr>
      </w:pPr>
      <w:r w:rsidRPr="00447970">
        <w:rPr>
          <w:sz w:val="24"/>
          <w:szCs w:val="28"/>
        </w:rPr>
        <w:t xml:space="preserve">We expect NASCs and EGL sites to continue with usual processes for new entries to residential care and reviews until 30 November 2025. </w:t>
      </w:r>
    </w:p>
    <w:p w14:paraId="5D66857F" w14:textId="68313735" w:rsidR="4755D38A" w:rsidRPr="00447970" w:rsidRDefault="4755D38A" w:rsidP="007517B4">
      <w:pPr>
        <w:rPr>
          <w:sz w:val="24"/>
          <w:szCs w:val="28"/>
        </w:rPr>
      </w:pPr>
      <w:r w:rsidRPr="00447970">
        <w:rPr>
          <w:sz w:val="24"/>
          <w:szCs w:val="28"/>
        </w:rPr>
        <w:t xml:space="preserve">From 1 December, NASCs and EGL sites will use the new Band Allocation Tool – which is currently in development. </w:t>
      </w:r>
    </w:p>
    <w:p w14:paraId="79293944" w14:textId="431FCA37" w:rsidR="7908F274" w:rsidRDefault="4755D38A" w:rsidP="00447970">
      <w:pPr>
        <w:rPr>
          <w:sz w:val="24"/>
          <w:szCs w:val="28"/>
        </w:rPr>
      </w:pPr>
      <w:r w:rsidRPr="00447970">
        <w:rPr>
          <w:sz w:val="24"/>
          <w:szCs w:val="28"/>
        </w:rPr>
        <w:t>NASCs and EGL sites have been issued updated budgets for the 2025/26 year and will need to continue to prioritise services and supports appropriately within those budgets.</w:t>
      </w:r>
    </w:p>
    <w:p w14:paraId="6B8B6AAD" w14:textId="77777777" w:rsidR="00B3321B" w:rsidRDefault="00B3321B" w:rsidP="00447970"/>
    <w:p w14:paraId="4888BA17" w14:textId="5ED7EC69" w:rsidR="4755D38A" w:rsidRDefault="4755D38A" w:rsidP="00447970">
      <w:pPr>
        <w:pStyle w:val="Heading2"/>
      </w:pPr>
      <w:r>
        <w:t>P</w:t>
      </w:r>
      <w:r w:rsidR="005C0B84">
        <w:t>rice freeze</w:t>
      </w:r>
    </w:p>
    <w:p w14:paraId="3C4A1252" w14:textId="359D7147" w:rsidR="001956E1" w:rsidRDefault="001956E1" w:rsidP="00447970">
      <w:pPr>
        <w:pStyle w:val="Heading3"/>
      </w:pPr>
      <w:r w:rsidRPr="7908F274">
        <w:t xml:space="preserve">Are NASCs </w:t>
      </w:r>
      <w:r w:rsidR="007517B4">
        <w:t xml:space="preserve">and </w:t>
      </w:r>
      <w:r w:rsidRPr="7908F274">
        <w:t>EGL sites now allowed to refer to Residential care?</w:t>
      </w:r>
    </w:p>
    <w:p w14:paraId="4274FC82" w14:textId="7316CDA5" w:rsidR="00CB5F86" w:rsidRDefault="001956E1" w:rsidP="007517B4">
      <w:pPr>
        <w:rPr>
          <w:sz w:val="24"/>
          <w:szCs w:val="28"/>
        </w:rPr>
      </w:pPr>
      <w:r w:rsidRPr="00447970">
        <w:rPr>
          <w:sz w:val="24"/>
          <w:szCs w:val="28"/>
        </w:rPr>
        <w:t xml:space="preserve">In Financial Year 2024/25, pending the completion of a rapid review of residential funding and contracting, residential expenditure was frozen. </w:t>
      </w:r>
      <w:r w:rsidR="007517B4">
        <w:rPr>
          <w:sz w:val="24"/>
          <w:szCs w:val="28"/>
        </w:rPr>
        <w:t xml:space="preserve">This </w:t>
      </w:r>
      <w:r w:rsidR="00BD56BD">
        <w:rPr>
          <w:sz w:val="24"/>
          <w:szCs w:val="28"/>
        </w:rPr>
        <w:t xml:space="preserve">funding freeze </w:t>
      </w:r>
      <w:r w:rsidR="00B3321B">
        <w:rPr>
          <w:sz w:val="24"/>
          <w:szCs w:val="28"/>
        </w:rPr>
        <w:t>was</w:t>
      </w:r>
      <w:r w:rsidR="007517B4">
        <w:rPr>
          <w:sz w:val="24"/>
          <w:szCs w:val="28"/>
        </w:rPr>
        <w:t xml:space="preserve"> lifted </w:t>
      </w:r>
      <w:r w:rsidR="00B3321B">
        <w:rPr>
          <w:sz w:val="24"/>
          <w:szCs w:val="28"/>
        </w:rPr>
        <w:t xml:space="preserve">on </w:t>
      </w:r>
      <w:r w:rsidRPr="00447970">
        <w:rPr>
          <w:sz w:val="24"/>
          <w:szCs w:val="28"/>
        </w:rPr>
        <w:t>1 July 2025.</w:t>
      </w:r>
      <w:r w:rsidR="0023346B">
        <w:rPr>
          <w:sz w:val="24"/>
          <w:szCs w:val="28"/>
        </w:rPr>
        <w:t xml:space="preserve"> </w:t>
      </w:r>
    </w:p>
    <w:p w14:paraId="4AF5A2C1" w14:textId="281885EF" w:rsidR="00AB4E35" w:rsidRPr="00447970" w:rsidRDefault="00AB4E35" w:rsidP="007517B4">
      <w:pPr>
        <w:rPr>
          <w:sz w:val="24"/>
          <w:szCs w:val="28"/>
        </w:rPr>
      </w:pPr>
      <w:r>
        <w:rPr>
          <w:sz w:val="24"/>
          <w:szCs w:val="28"/>
        </w:rPr>
        <w:t>Referrals into residential care were</w:t>
      </w:r>
      <w:r w:rsidR="00DF2387">
        <w:rPr>
          <w:sz w:val="24"/>
          <w:szCs w:val="28"/>
        </w:rPr>
        <w:t xml:space="preserve"> still being processed.</w:t>
      </w:r>
    </w:p>
    <w:p w14:paraId="203B9E90" w14:textId="3BE77F73" w:rsidR="001956E1" w:rsidRPr="00447970" w:rsidRDefault="001956E1" w:rsidP="007517B4">
      <w:pPr>
        <w:rPr>
          <w:sz w:val="24"/>
          <w:szCs w:val="28"/>
        </w:rPr>
      </w:pPr>
      <w:r w:rsidRPr="00447970">
        <w:rPr>
          <w:sz w:val="24"/>
          <w:szCs w:val="28"/>
        </w:rPr>
        <w:t xml:space="preserve">NASCs and EGL sites </w:t>
      </w:r>
      <w:r w:rsidR="0023346B">
        <w:rPr>
          <w:sz w:val="24"/>
          <w:szCs w:val="28"/>
        </w:rPr>
        <w:t>should</w:t>
      </w:r>
      <w:r w:rsidRPr="00447970">
        <w:rPr>
          <w:sz w:val="24"/>
          <w:szCs w:val="28"/>
        </w:rPr>
        <w:t xml:space="preserve"> continue to prioritise support allocations to remain within their overall budgets, but they will have more flexibility to allocate supports</w:t>
      </w:r>
      <w:r w:rsidR="007517B4">
        <w:rPr>
          <w:sz w:val="24"/>
          <w:szCs w:val="28"/>
        </w:rPr>
        <w:t xml:space="preserve">, </w:t>
      </w:r>
      <w:r w:rsidRPr="00447970">
        <w:rPr>
          <w:sz w:val="24"/>
          <w:szCs w:val="28"/>
        </w:rPr>
        <w:t>whether community or residential support</w:t>
      </w:r>
      <w:r w:rsidR="007517B4">
        <w:rPr>
          <w:sz w:val="24"/>
          <w:szCs w:val="28"/>
        </w:rPr>
        <w:t xml:space="preserve">, </w:t>
      </w:r>
      <w:r w:rsidRPr="00447970">
        <w:rPr>
          <w:sz w:val="24"/>
          <w:szCs w:val="28"/>
        </w:rPr>
        <w:t>from within their total budget.</w:t>
      </w:r>
    </w:p>
    <w:p w14:paraId="6A14162A" w14:textId="309D9DA3" w:rsidR="001956E1" w:rsidRPr="00447970" w:rsidRDefault="001956E1" w:rsidP="00447970">
      <w:pPr>
        <w:rPr>
          <w:sz w:val="24"/>
          <w:szCs w:val="28"/>
        </w:rPr>
      </w:pPr>
      <w:r w:rsidRPr="00447970">
        <w:rPr>
          <w:sz w:val="24"/>
          <w:szCs w:val="28"/>
        </w:rPr>
        <w:t xml:space="preserve">Factsheets are available on our website, including in alternate formats.  </w:t>
      </w:r>
    </w:p>
    <w:p w14:paraId="1FA3287E" w14:textId="77777777" w:rsidR="001956E1" w:rsidRPr="00447970" w:rsidRDefault="00EE0943" w:rsidP="00447970">
      <w:pPr>
        <w:pStyle w:val="ListParagraph"/>
        <w:numPr>
          <w:ilvl w:val="0"/>
          <w:numId w:val="39"/>
        </w:numPr>
        <w:rPr>
          <w:sz w:val="24"/>
          <w:szCs w:val="24"/>
        </w:rPr>
      </w:pPr>
      <w:hyperlink r:id="rId14">
        <w:r w:rsidR="001956E1" w:rsidRPr="007517B4">
          <w:rPr>
            <w:rStyle w:val="Hyperlink"/>
            <w:rFonts w:eastAsia="Verdana" w:cs="Verdana"/>
            <w:sz w:val="24"/>
            <w:szCs w:val="24"/>
          </w:rPr>
          <w:t>Factsheet: Community Group Home Pricing Model | Disability Support Services</w:t>
        </w:r>
      </w:hyperlink>
      <w:r w:rsidR="001956E1" w:rsidRPr="00447970">
        <w:rPr>
          <w:sz w:val="24"/>
          <w:szCs w:val="24"/>
        </w:rPr>
        <w:t xml:space="preserve"> </w:t>
      </w:r>
    </w:p>
    <w:p w14:paraId="3626C003" w14:textId="3B113253" w:rsidR="7908F274" w:rsidRPr="005C0B84" w:rsidRDefault="00EE0943" w:rsidP="00447970">
      <w:pPr>
        <w:pStyle w:val="ListParagraph"/>
        <w:numPr>
          <w:ilvl w:val="0"/>
          <w:numId w:val="39"/>
        </w:numPr>
        <w:rPr>
          <w:rFonts w:eastAsia="Verdana" w:cs="Verdana"/>
          <w:b/>
          <w:bCs/>
          <w:sz w:val="24"/>
          <w:szCs w:val="24"/>
        </w:rPr>
      </w:pPr>
      <w:hyperlink r:id="rId15">
        <w:r w:rsidR="001956E1" w:rsidRPr="007517B4">
          <w:rPr>
            <w:rStyle w:val="Hyperlink"/>
            <w:rFonts w:eastAsia="Verdana" w:cs="Verdana"/>
            <w:sz w:val="24"/>
            <w:szCs w:val="24"/>
          </w:rPr>
          <w:t>Factsheet: Funding freeze on residential care lifted on 1 July 2025 | Disability Support Services</w:t>
        </w:r>
      </w:hyperlink>
      <w:r w:rsidR="001956E1" w:rsidRPr="00447970">
        <w:rPr>
          <w:sz w:val="24"/>
          <w:szCs w:val="24"/>
        </w:rPr>
        <w:t xml:space="preserve"> </w:t>
      </w:r>
    </w:p>
    <w:p w14:paraId="27884172" w14:textId="77777777" w:rsidR="005C0B84" w:rsidRPr="00447970" w:rsidRDefault="005C0B84" w:rsidP="005C0B84">
      <w:pPr>
        <w:pStyle w:val="ListParagraph"/>
        <w:rPr>
          <w:rFonts w:eastAsia="Verdana" w:cs="Verdana"/>
          <w:b/>
          <w:bCs/>
          <w:sz w:val="24"/>
          <w:szCs w:val="24"/>
        </w:rPr>
      </w:pPr>
    </w:p>
    <w:p w14:paraId="58530DF0" w14:textId="0F7DADA6" w:rsidR="4755D38A" w:rsidRDefault="007517B4" w:rsidP="00447970">
      <w:pPr>
        <w:pStyle w:val="Heading3"/>
      </w:pPr>
      <w:r>
        <w:t xml:space="preserve">How does the model </w:t>
      </w:r>
      <w:r w:rsidR="005C0B84">
        <w:t xml:space="preserve">work </w:t>
      </w:r>
      <w:r w:rsidR="005C0B84" w:rsidRPr="7908F274">
        <w:t>for</w:t>
      </w:r>
      <w:r w:rsidR="4755D38A" w:rsidRPr="7908F274">
        <w:t xml:space="preserve"> people </w:t>
      </w:r>
      <w:r>
        <w:t>whose</w:t>
      </w:r>
      <w:r w:rsidR="4755D38A" w:rsidRPr="7908F274">
        <w:t xml:space="preserve"> support needs have changed? </w:t>
      </w:r>
    </w:p>
    <w:p w14:paraId="62C64B1D" w14:textId="4ADC27FD" w:rsidR="4755D38A" w:rsidRPr="00447970" w:rsidRDefault="4755D38A" w:rsidP="007517B4">
      <w:pPr>
        <w:rPr>
          <w:sz w:val="24"/>
          <w:szCs w:val="28"/>
        </w:rPr>
      </w:pPr>
      <w:r w:rsidRPr="00447970">
        <w:rPr>
          <w:sz w:val="24"/>
          <w:szCs w:val="28"/>
        </w:rPr>
        <w:t>NASCs and EGL sites will still need to prioritise supports and services to those that need them the most.</w:t>
      </w:r>
    </w:p>
    <w:p w14:paraId="519DE68F" w14:textId="0A2AAF20" w:rsidR="4755D38A" w:rsidRPr="00447970" w:rsidRDefault="00C01D3D" w:rsidP="007517B4">
      <w:pPr>
        <w:rPr>
          <w:sz w:val="24"/>
          <w:szCs w:val="28"/>
        </w:rPr>
      </w:pPr>
      <w:r>
        <w:rPr>
          <w:sz w:val="24"/>
          <w:szCs w:val="28"/>
        </w:rPr>
        <w:t>The</w:t>
      </w:r>
      <w:r w:rsidR="4755D38A" w:rsidRPr="00447970">
        <w:rPr>
          <w:sz w:val="24"/>
          <w:szCs w:val="28"/>
        </w:rPr>
        <w:t xml:space="preserve"> pricing freeze </w:t>
      </w:r>
      <w:r w:rsidR="00E8458E">
        <w:rPr>
          <w:sz w:val="24"/>
          <w:szCs w:val="28"/>
        </w:rPr>
        <w:t>has been</w:t>
      </w:r>
      <w:r w:rsidR="00AA5F2A">
        <w:rPr>
          <w:sz w:val="24"/>
          <w:szCs w:val="28"/>
        </w:rPr>
        <w:t xml:space="preserve"> </w:t>
      </w:r>
      <w:r w:rsidR="4755D38A" w:rsidRPr="00447970">
        <w:rPr>
          <w:sz w:val="24"/>
          <w:szCs w:val="28"/>
        </w:rPr>
        <w:t>lifted</w:t>
      </w:r>
      <w:r>
        <w:rPr>
          <w:sz w:val="24"/>
          <w:szCs w:val="28"/>
        </w:rPr>
        <w:t xml:space="preserve"> and</w:t>
      </w:r>
      <w:r w:rsidR="4755D38A" w:rsidRPr="00447970">
        <w:rPr>
          <w:sz w:val="24"/>
          <w:szCs w:val="28"/>
        </w:rPr>
        <w:t xml:space="preserve"> NASCs have more flexibility to work with disabled people and their families to find the best options to suit them, whether these are in the community or residential care.</w:t>
      </w:r>
    </w:p>
    <w:p w14:paraId="44B95EA5" w14:textId="5DCBC292" w:rsidR="00507D73" w:rsidRDefault="4755D38A" w:rsidP="007517B4">
      <w:pPr>
        <w:rPr>
          <w:sz w:val="24"/>
          <w:szCs w:val="28"/>
        </w:rPr>
      </w:pPr>
      <w:r w:rsidRPr="00447970">
        <w:rPr>
          <w:sz w:val="24"/>
          <w:szCs w:val="28"/>
        </w:rPr>
        <w:t xml:space="preserve">If </w:t>
      </w:r>
      <w:r w:rsidR="0076719C">
        <w:rPr>
          <w:sz w:val="24"/>
          <w:szCs w:val="28"/>
        </w:rPr>
        <w:t xml:space="preserve">the needs of </w:t>
      </w:r>
      <w:r w:rsidRPr="00447970">
        <w:rPr>
          <w:sz w:val="24"/>
          <w:szCs w:val="28"/>
        </w:rPr>
        <w:t>a person you support have changed, you should follow the usual processes with the local NASC or EGL site.</w:t>
      </w:r>
    </w:p>
    <w:p w14:paraId="2B272F47" w14:textId="77777777" w:rsidR="00447970" w:rsidRPr="00447970" w:rsidRDefault="00447970" w:rsidP="007517B4">
      <w:pPr>
        <w:rPr>
          <w:sz w:val="24"/>
          <w:szCs w:val="28"/>
        </w:rPr>
      </w:pPr>
    </w:p>
    <w:p w14:paraId="345A0674" w14:textId="716398F9" w:rsidR="4755D38A" w:rsidRDefault="4755D38A" w:rsidP="00447970">
      <w:pPr>
        <w:pStyle w:val="Heading3"/>
      </w:pPr>
      <w:r w:rsidRPr="7908F274">
        <w:t>Does the lift of the freeze also mean people can now shift from NASC/residential funding to EGL?</w:t>
      </w:r>
    </w:p>
    <w:p w14:paraId="3D8C693D" w14:textId="0E82AB68" w:rsidR="001956E1" w:rsidRDefault="00C01D3D" w:rsidP="5AC8AD5F">
      <w:pPr>
        <w:rPr>
          <w:sz w:val="24"/>
          <w:szCs w:val="28"/>
        </w:rPr>
      </w:pPr>
      <w:r>
        <w:rPr>
          <w:sz w:val="24"/>
          <w:szCs w:val="28"/>
        </w:rPr>
        <w:t xml:space="preserve">The </w:t>
      </w:r>
      <w:r w:rsidR="4755D38A" w:rsidRPr="00447970">
        <w:rPr>
          <w:sz w:val="24"/>
          <w:szCs w:val="28"/>
        </w:rPr>
        <w:t xml:space="preserve">pricing freeze </w:t>
      </w:r>
      <w:r w:rsidR="004A5FB4">
        <w:rPr>
          <w:sz w:val="24"/>
          <w:szCs w:val="28"/>
        </w:rPr>
        <w:t>has been</w:t>
      </w:r>
      <w:r w:rsidR="4755D38A" w:rsidRPr="00447970">
        <w:rPr>
          <w:sz w:val="24"/>
          <w:szCs w:val="28"/>
        </w:rPr>
        <w:t xml:space="preserve"> lifted</w:t>
      </w:r>
      <w:r>
        <w:rPr>
          <w:sz w:val="24"/>
          <w:szCs w:val="28"/>
        </w:rPr>
        <w:t xml:space="preserve"> and</w:t>
      </w:r>
      <w:r w:rsidR="4755D38A" w:rsidRPr="00447970">
        <w:rPr>
          <w:sz w:val="24"/>
          <w:szCs w:val="28"/>
        </w:rPr>
        <w:t xml:space="preserve"> NASCs have more flexibility to work with disabled people and their families to find the best options to suit them.</w:t>
      </w:r>
    </w:p>
    <w:p w14:paraId="20B48AB1" w14:textId="77777777" w:rsidR="00447970" w:rsidRDefault="00447970" w:rsidP="5AC8AD5F"/>
    <w:p w14:paraId="0E3BFA4B" w14:textId="477F4613" w:rsidR="4755D38A" w:rsidRDefault="4755D38A" w:rsidP="00447970">
      <w:pPr>
        <w:pStyle w:val="Heading2"/>
      </w:pPr>
      <w:r>
        <w:t>P</w:t>
      </w:r>
      <w:r w:rsidR="00447970">
        <w:t>ay</w:t>
      </w:r>
      <w:r>
        <w:t xml:space="preserve"> </w:t>
      </w:r>
      <w:proofErr w:type="gramStart"/>
      <w:r w:rsidR="00EE0943">
        <w:t>e</w:t>
      </w:r>
      <w:r w:rsidR="00447970">
        <w:t>quity</w:t>
      </w:r>
      <w:proofErr w:type="gramEnd"/>
    </w:p>
    <w:p w14:paraId="731513AC" w14:textId="50F0B13B" w:rsidR="4755D38A" w:rsidRDefault="4755D38A" w:rsidP="00447970">
      <w:pPr>
        <w:pStyle w:val="Heading3"/>
      </w:pPr>
      <w:r w:rsidRPr="7908F274">
        <w:t>Will Pay Equity payments cease from 1 July?</w:t>
      </w:r>
    </w:p>
    <w:p w14:paraId="47039EDF" w14:textId="79A8AA90" w:rsidR="7908F274" w:rsidRDefault="4755D38A" w:rsidP="7908F274">
      <w:pPr>
        <w:rPr>
          <w:rFonts w:eastAsia="Verdana" w:cs="Verdana"/>
          <w:sz w:val="24"/>
          <w:szCs w:val="24"/>
        </w:rPr>
      </w:pPr>
      <w:r w:rsidRPr="7908F274">
        <w:rPr>
          <w:rFonts w:eastAsia="Verdana" w:cs="Verdana"/>
          <w:sz w:val="24"/>
          <w:szCs w:val="24"/>
        </w:rPr>
        <w:t>Advanced Interim Payments (AIP) for pay equity will continue to be paid for the period 1 July to 30 November 2025. From 1 December 2025, the AIP payments will cease as these costs are built into the labour rates in the new pricing model.</w:t>
      </w:r>
    </w:p>
    <w:p w14:paraId="136D4AC9" w14:textId="77777777" w:rsidR="005C0B84" w:rsidRDefault="005C0B84" w:rsidP="7908F274">
      <w:pPr>
        <w:rPr>
          <w:rFonts w:eastAsia="Verdana" w:cs="Verdana"/>
          <w:b/>
          <w:bCs/>
          <w:sz w:val="24"/>
          <w:szCs w:val="24"/>
        </w:rPr>
      </w:pPr>
    </w:p>
    <w:p w14:paraId="71F14AE2" w14:textId="56A457DD" w:rsidR="4755D38A" w:rsidRDefault="4755D38A" w:rsidP="00447970">
      <w:pPr>
        <w:pStyle w:val="Heading3"/>
      </w:pPr>
      <w:r w:rsidRPr="7908F274">
        <w:t>Are the support rates for the bands calculated at the current Pay Equity level?</w:t>
      </w:r>
    </w:p>
    <w:p w14:paraId="60E1429A" w14:textId="79CB955E" w:rsidR="7908F274" w:rsidRDefault="4755D38A" w:rsidP="7908F274">
      <w:pPr>
        <w:rPr>
          <w:rFonts w:eastAsia="Verdana" w:cs="Verdana"/>
          <w:sz w:val="24"/>
          <w:szCs w:val="24"/>
        </w:rPr>
      </w:pPr>
      <w:r w:rsidRPr="7908F274">
        <w:rPr>
          <w:rFonts w:eastAsia="Verdana" w:cs="Verdana"/>
          <w:sz w:val="24"/>
          <w:szCs w:val="24"/>
        </w:rPr>
        <w:t xml:space="preserve">The assumption about pay equity costs are based on the rates in the latest settlement. </w:t>
      </w:r>
    </w:p>
    <w:p w14:paraId="7BE956B1" w14:textId="77777777" w:rsidR="005C0B84" w:rsidRDefault="005C0B84" w:rsidP="7908F274">
      <w:pPr>
        <w:rPr>
          <w:rFonts w:eastAsia="Verdana" w:cs="Verdana"/>
          <w:b/>
          <w:bCs/>
          <w:sz w:val="24"/>
          <w:szCs w:val="24"/>
        </w:rPr>
      </w:pPr>
    </w:p>
    <w:p w14:paraId="32C27E5E" w14:textId="3A9A80D3" w:rsidR="4755D38A" w:rsidRDefault="008E3DDD" w:rsidP="00447970">
      <w:pPr>
        <w:pStyle w:val="Heading3"/>
      </w:pPr>
      <w:r>
        <w:lastRenderedPageBreak/>
        <w:t>A</w:t>
      </w:r>
      <w:r w:rsidR="4755D38A" w:rsidRPr="7908F274">
        <w:t>re support staff wage rates based on the previous Pay Equity levels?</w:t>
      </w:r>
    </w:p>
    <w:p w14:paraId="6A76A7AD" w14:textId="56713C53" w:rsidR="4755D38A" w:rsidRDefault="4755D38A" w:rsidP="008E3DDD">
      <w:pPr>
        <w:rPr>
          <w:sz w:val="24"/>
          <w:szCs w:val="28"/>
        </w:rPr>
      </w:pPr>
      <w:r w:rsidRPr="00447970">
        <w:rPr>
          <w:sz w:val="24"/>
          <w:szCs w:val="28"/>
        </w:rPr>
        <w:t xml:space="preserve">The assumption about pay equity costs are based on the rates in the latest settlement. </w:t>
      </w:r>
    </w:p>
    <w:p w14:paraId="08074BB9" w14:textId="77777777" w:rsidR="00447970" w:rsidRPr="00447970" w:rsidRDefault="00447970" w:rsidP="008E3DDD">
      <w:pPr>
        <w:rPr>
          <w:sz w:val="24"/>
          <w:szCs w:val="28"/>
        </w:rPr>
      </w:pPr>
    </w:p>
    <w:p w14:paraId="38B65914" w14:textId="00D75BC7" w:rsidR="4755D38A" w:rsidRDefault="00447970" w:rsidP="00447970">
      <w:pPr>
        <w:pStyle w:val="Heading2"/>
      </w:pPr>
      <w:r>
        <w:t xml:space="preserve">Property </w:t>
      </w:r>
      <w:r w:rsidR="00EE0943">
        <w:t>d</w:t>
      </w:r>
      <w:r>
        <w:t>amage</w:t>
      </w:r>
    </w:p>
    <w:p w14:paraId="12C8650A" w14:textId="0D939E5E" w:rsidR="4755D38A" w:rsidRDefault="4755D38A" w:rsidP="00447970">
      <w:pPr>
        <w:pStyle w:val="Heading3"/>
      </w:pPr>
      <w:r w:rsidRPr="7908F274">
        <w:t>How would property damage be paid?</w:t>
      </w:r>
    </w:p>
    <w:p w14:paraId="75EE049B" w14:textId="7E99C7BA" w:rsidR="4755D38A" w:rsidRDefault="4755D38A" w:rsidP="008E3DDD">
      <w:pPr>
        <w:rPr>
          <w:sz w:val="24"/>
          <w:szCs w:val="28"/>
        </w:rPr>
      </w:pPr>
      <w:r w:rsidRPr="00447970">
        <w:rPr>
          <w:sz w:val="24"/>
          <w:szCs w:val="28"/>
        </w:rPr>
        <w:t>We are working through finalising the Operational Policy and Guidelines 2025/26.  This is expected to be released prior to 1 July 2025 and will be available on our website.</w:t>
      </w:r>
    </w:p>
    <w:p w14:paraId="4F04CF60" w14:textId="77777777" w:rsidR="00447970" w:rsidRPr="00447970" w:rsidRDefault="00447970" w:rsidP="008E3DDD">
      <w:pPr>
        <w:rPr>
          <w:sz w:val="24"/>
          <w:szCs w:val="28"/>
        </w:rPr>
      </w:pPr>
    </w:p>
    <w:p w14:paraId="0A11B967" w14:textId="5339026A" w:rsidR="4755D38A" w:rsidRDefault="4755D38A" w:rsidP="00447970">
      <w:pPr>
        <w:pStyle w:val="Heading2"/>
      </w:pPr>
      <w:r>
        <w:t>S</w:t>
      </w:r>
      <w:r w:rsidR="00447970">
        <w:t xml:space="preserve">ervice </w:t>
      </w:r>
      <w:proofErr w:type="gramStart"/>
      <w:r w:rsidR="00EE0943">
        <w:t>s</w:t>
      </w:r>
      <w:r w:rsidR="00447970">
        <w:t>pecifications</w:t>
      </w:r>
      <w:proofErr w:type="gramEnd"/>
    </w:p>
    <w:p w14:paraId="6A980061" w14:textId="25E062BA" w:rsidR="4755D38A" w:rsidRDefault="4755D38A" w:rsidP="5AC8AD5F">
      <w:r w:rsidRPr="00447970">
        <w:rPr>
          <w:rStyle w:val="Heading3Char"/>
        </w:rPr>
        <w:t>Will the service specifications be updated to reflect the changing needs of clients</w:t>
      </w:r>
      <w:r w:rsidRPr="7908F274">
        <w:rPr>
          <w:rFonts w:eastAsia="Verdana" w:cs="Verdana"/>
          <w:b/>
          <w:bCs/>
          <w:sz w:val="24"/>
          <w:szCs w:val="24"/>
        </w:rPr>
        <w:t>?</w:t>
      </w:r>
    </w:p>
    <w:p w14:paraId="64538C23" w14:textId="639C0CA0" w:rsidR="4755D38A" w:rsidRPr="00447970" w:rsidRDefault="0076719C" w:rsidP="008E3DDD">
      <w:pPr>
        <w:rPr>
          <w:sz w:val="24"/>
          <w:szCs w:val="24"/>
        </w:rPr>
      </w:pPr>
      <w:r>
        <w:rPr>
          <w:sz w:val="24"/>
          <w:szCs w:val="24"/>
        </w:rPr>
        <w:t>We are</w:t>
      </w:r>
      <w:r w:rsidR="4755D38A" w:rsidRPr="00447970">
        <w:rPr>
          <w:sz w:val="24"/>
          <w:szCs w:val="24"/>
        </w:rPr>
        <w:t xml:space="preserve"> reviewing the service specifications as part of the new contracting process. These are available </w:t>
      </w:r>
      <w:hyperlink r:id="rId16" w:history="1">
        <w:r w:rsidR="008E3DDD" w:rsidRPr="008E3DDD">
          <w:rPr>
            <w:rStyle w:val="Hyperlink"/>
            <w:sz w:val="24"/>
            <w:szCs w:val="24"/>
          </w:rPr>
          <w:t xml:space="preserve">on </w:t>
        </w:r>
        <w:r w:rsidR="4755D38A" w:rsidRPr="00447970">
          <w:rPr>
            <w:rStyle w:val="Hyperlink"/>
            <w:sz w:val="24"/>
            <w:szCs w:val="24"/>
          </w:rPr>
          <w:t>our website</w:t>
        </w:r>
      </w:hyperlink>
      <w:r w:rsidR="00447970">
        <w:rPr>
          <w:sz w:val="24"/>
          <w:szCs w:val="24"/>
        </w:rPr>
        <w:t>.</w:t>
      </w:r>
      <w:r w:rsidR="4755D38A" w:rsidRPr="00447970">
        <w:rPr>
          <w:sz w:val="24"/>
          <w:szCs w:val="24"/>
        </w:rPr>
        <w:t xml:space="preserve"> </w:t>
      </w:r>
    </w:p>
    <w:p w14:paraId="2B59A965" w14:textId="18E853AB" w:rsidR="7908F274" w:rsidRDefault="7908F274" w:rsidP="7908F274">
      <w:pPr>
        <w:rPr>
          <w:rFonts w:eastAsia="Verdana" w:cs="Verdana"/>
          <w:b/>
          <w:bCs/>
          <w:sz w:val="24"/>
          <w:szCs w:val="24"/>
        </w:rPr>
      </w:pPr>
    </w:p>
    <w:p w14:paraId="74340110" w14:textId="689CA7ED" w:rsidR="4755D38A" w:rsidRDefault="4755D38A" w:rsidP="00447970">
      <w:pPr>
        <w:pStyle w:val="Heading3"/>
      </w:pPr>
      <w:r w:rsidRPr="7908F274">
        <w:t>Will providers receive a copy of the Band Allocation Tool (BAT) when completed for clients</w:t>
      </w:r>
      <w:r w:rsidR="008E3DDD">
        <w:t xml:space="preserve">, and include </w:t>
      </w:r>
      <w:r w:rsidRPr="7908F274">
        <w:t xml:space="preserve">consideration </w:t>
      </w:r>
      <w:r w:rsidR="008E3DDD">
        <w:t xml:space="preserve">of </w:t>
      </w:r>
      <w:r w:rsidRPr="7908F274">
        <w:t>school holiday and vocational service closures?</w:t>
      </w:r>
    </w:p>
    <w:p w14:paraId="0A19C7AA" w14:textId="5CE31E84" w:rsidR="4755D38A" w:rsidRPr="00447970" w:rsidRDefault="4755D38A" w:rsidP="008E3DDD">
      <w:pPr>
        <w:rPr>
          <w:sz w:val="24"/>
          <w:szCs w:val="28"/>
        </w:rPr>
      </w:pPr>
      <w:r w:rsidRPr="00447970">
        <w:rPr>
          <w:sz w:val="24"/>
          <w:szCs w:val="28"/>
        </w:rPr>
        <w:t>The tools and process</w:t>
      </w:r>
      <w:r w:rsidR="008E3DDD" w:rsidRPr="00447970">
        <w:rPr>
          <w:sz w:val="24"/>
          <w:szCs w:val="28"/>
        </w:rPr>
        <w:t>es</w:t>
      </w:r>
      <w:r w:rsidRPr="00447970">
        <w:rPr>
          <w:sz w:val="24"/>
          <w:szCs w:val="28"/>
        </w:rPr>
        <w:t xml:space="preserve"> are in development, and we have noted this for consideration.</w:t>
      </w:r>
    </w:p>
    <w:p w14:paraId="1A0D7A2F" w14:textId="6F712B6E" w:rsidR="4755D38A" w:rsidRPr="00447970" w:rsidRDefault="4755D38A" w:rsidP="008E3DDD">
      <w:pPr>
        <w:rPr>
          <w:sz w:val="24"/>
          <w:szCs w:val="28"/>
        </w:rPr>
      </w:pPr>
      <w:r w:rsidRPr="00447970">
        <w:rPr>
          <w:sz w:val="24"/>
          <w:szCs w:val="28"/>
        </w:rPr>
        <w:t>The pricing model accounts for a level of support 24/</w:t>
      </w:r>
      <w:r w:rsidR="00447970" w:rsidRPr="00447970">
        <w:rPr>
          <w:sz w:val="24"/>
          <w:szCs w:val="28"/>
        </w:rPr>
        <w:t>7</w:t>
      </w:r>
      <w:r w:rsidR="00447970">
        <w:rPr>
          <w:sz w:val="24"/>
          <w:szCs w:val="28"/>
        </w:rPr>
        <w:t>,</w:t>
      </w:r>
      <w:r w:rsidR="00447970" w:rsidRPr="00447970">
        <w:rPr>
          <w:sz w:val="24"/>
          <w:szCs w:val="28"/>
        </w:rPr>
        <w:t xml:space="preserve"> rather</w:t>
      </w:r>
      <w:r w:rsidRPr="00447970">
        <w:rPr>
          <w:sz w:val="24"/>
          <w:szCs w:val="28"/>
        </w:rPr>
        <w:t xml:space="preserve"> than the assumption of current rates that all people leave the house during weekdays. So, the Band Allocation Tool will no longer need to have specific </w:t>
      </w:r>
      <w:r w:rsidR="0037664C">
        <w:rPr>
          <w:sz w:val="24"/>
          <w:szCs w:val="28"/>
        </w:rPr>
        <w:t>considerations a</w:t>
      </w:r>
      <w:r w:rsidRPr="00447970">
        <w:rPr>
          <w:sz w:val="24"/>
          <w:szCs w:val="28"/>
        </w:rPr>
        <w:t xml:space="preserve">round school holiday/vocational absences. </w:t>
      </w:r>
    </w:p>
    <w:sectPr w:rsidR="4755D38A" w:rsidRPr="00447970" w:rsidSect="007D08DC">
      <w:headerReference w:type="even" r:id="rId17"/>
      <w:headerReference w:type="default" r:id="rId18"/>
      <w:footerReference w:type="default" r:id="rId19"/>
      <w:head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C48D7" w14:textId="77777777" w:rsidR="003F292D" w:rsidRDefault="003F292D" w:rsidP="00932BB5">
      <w:pPr>
        <w:spacing w:after="0" w:line="240" w:lineRule="auto"/>
      </w:pPr>
      <w:r>
        <w:separator/>
      </w:r>
    </w:p>
  </w:endnote>
  <w:endnote w:type="continuationSeparator" w:id="0">
    <w:p w14:paraId="7C22F618" w14:textId="77777777" w:rsidR="003F292D" w:rsidRDefault="003F292D" w:rsidP="00932BB5">
      <w:pPr>
        <w:spacing w:after="0" w:line="240" w:lineRule="auto"/>
      </w:pPr>
      <w:r>
        <w:continuationSeparator/>
      </w:r>
    </w:p>
  </w:endnote>
  <w:endnote w:type="continuationNotice" w:id="1">
    <w:p w14:paraId="35436B3A" w14:textId="77777777" w:rsidR="003F292D" w:rsidRDefault="003F29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880354"/>
      <w:docPartObj>
        <w:docPartGallery w:val="Page Numbers (Bottom of Page)"/>
        <w:docPartUnique/>
      </w:docPartObj>
    </w:sdtPr>
    <w:sdtEndPr/>
    <w:sdtContent>
      <w:sdt>
        <w:sdtPr>
          <w:id w:val="-1769616900"/>
          <w:docPartObj>
            <w:docPartGallery w:val="Page Numbers (Top of Page)"/>
            <w:docPartUnique/>
          </w:docPartObj>
        </w:sdtPr>
        <w:sdtEndPr/>
        <w:sdtContent>
          <w:p w14:paraId="3E016EBA" w14:textId="61EEB380" w:rsidR="00C643DE" w:rsidRDefault="00C643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954AEA8" w14:textId="5284AB38" w:rsidR="000E58EE" w:rsidRDefault="000E5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3EF6B" w14:textId="77777777" w:rsidR="003F292D" w:rsidRDefault="003F292D" w:rsidP="00932BB5">
      <w:pPr>
        <w:spacing w:after="0" w:line="240" w:lineRule="auto"/>
      </w:pPr>
      <w:r>
        <w:separator/>
      </w:r>
    </w:p>
  </w:footnote>
  <w:footnote w:type="continuationSeparator" w:id="0">
    <w:p w14:paraId="2C38E41D" w14:textId="77777777" w:rsidR="003F292D" w:rsidRDefault="003F292D" w:rsidP="00932BB5">
      <w:pPr>
        <w:spacing w:after="0" w:line="240" w:lineRule="auto"/>
      </w:pPr>
      <w:r>
        <w:continuationSeparator/>
      </w:r>
    </w:p>
  </w:footnote>
  <w:footnote w:type="continuationNotice" w:id="1">
    <w:p w14:paraId="52A0043A" w14:textId="77777777" w:rsidR="003F292D" w:rsidRDefault="003F29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CB495" w14:textId="6E57B6DB" w:rsidR="00932BB5" w:rsidRDefault="00932BB5">
    <w:pPr>
      <w:pStyle w:val="Header"/>
    </w:pPr>
    <w:r>
      <w:rPr>
        <w:noProof/>
        <w:color w:val="2B579A"/>
      </w:rPr>
      <mc:AlternateContent>
        <mc:Choice Requires="wps">
          <w:drawing>
            <wp:anchor distT="0" distB="0" distL="0" distR="0" simplePos="0" relativeHeight="251658241" behindDoc="0" locked="0" layoutInCell="1" allowOverlap="1" wp14:anchorId="360EDA42" wp14:editId="21512346">
              <wp:simplePos x="635" y="635"/>
              <wp:positionH relativeFrom="page">
                <wp:align>center</wp:align>
              </wp:positionH>
              <wp:positionV relativeFrom="page">
                <wp:align>top</wp:align>
              </wp:positionV>
              <wp:extent cx="443865" cy="443865"/>
              <wp:effectExtent l="0" t="0" r="10160" b="4445"/>
              <wp:wrapNone/>
              <wp:docPr id="1715460617"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F3585E" w14:textId="7891CEBC" w:rsidR="00932BB5" w:rsidRPr="00932BB5" w:rsidRDefault="00932BB5" w:rsidP="00932BB5">
                          <w:pPr>
                            <w:spacing w:after="0"/>
                            <w:rPr>
                              <w:rFonts w:ascii="Calibri" w:hAnsi="Calibri" w:cs="Calibri"/>
                              <w:noProof/>
                              <w:color w:val="000000"/>
                              <w:szCs w:val="20"/>
                            </w:rPr>
                          </w:pPr>
                          <w:r w:rsidRPr="00932BB5">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0EDA42"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EF3585E" w14:textId="7891CEBC" w:rsidR="00932BB5" w:rsidRPr="00932BB5" w:rsidRDefault="00932BB5" w:rsidP="00932BB5">
                    <w:pPr>
                      <w:spacing w:after="0"/>
                      <w:rPr>
                        <w:rFonts w:ascii="Calibri" w:hAnsi="Calibri" w:cs="Calibri"/>
                        <w:noProof/>
                        <w:color w:val="000000"/>
                        <w:szCs w:val="20"/>
                      </w:rPr>
                    </w:pPr>
                    <w:r w:rsidRPr="00932BB5">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9C6C6" w14:textId="16598B3D" w:rsidR="00932BB5" w:rsidRDefault="00932BB5" w:rsidP="10E066BD">
    <w:pPr>
      <w:pStyle w:val="Header"/>
      <w:jc w:val="center"/>
    </w:pPr>
    <w:r>
      <w:rPr>
        <w:noProof/>
        <w:color w:val="2B579A"/>
      </w:rPr>
      <mc:AlternateContent>
        <mc:Choice Requires="wps">
          <w:drawing>
            <wp:anchor distT="0" distB="0" distL="0" distR="0" simplePos="0" relativeHeight="251658242" behindDoc="0" locked="0" layoutInCell="1" allowOverlap="1" wp14:anchorId="107153ED" wp14:editId="65FA6508">
              <wp:simplePos x="914400" y="449272"/>
              <wp:positionH relativeFrom="page">
                <wp:align>center</wp:align>
              </wp:positionH>
              <wp:positionV relativeFrom="page">
                <wp:align>top</wp:align>
              </wp:positionV>
              <wp:extent cx="443865" cy="443865"/>
              <wp:effectExtent l="0" t="0" r="10160" b="4445"/>
              <wp:wrapNone/>
              <wp:docPr id="1881658590"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3149B1" w14:textId="4431536D" w:rsidR="00932BB5" w:rsidRPr="00932BB5" w:rsidRDefault="00932BB5" w:rsidP="00932BB5">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7153ED" id="_x0000_t202" coordsize="21600,21600" o:spt="202" path="m,l,21600r21600,l21600,xe">
              <v:stroke joinstyle="miter"/>
              <v:path gradientshapeok="t" o:connecttype="rect"/>
            </v:shapetype>
            <v:shape id="Text Box 3" o:spid="_x0000_s1027" type="#_x0000_t202" alt="IN-CONFIDENCE"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43149B1" w14:textId="4431536D" w:rsidR="00932BB5" w:rsidRPr="00932BB5" w:rsidRDefault="00932BB5" w:rsidP="00932BB5">
                    <w:pPr>
                      <w:spacing w:after="0"/>
                      <w:rPr>
                        <w:rFonts w:ascii="Calibri" w:hAnsi="Calibri" w:cs="Calibri"/>
                        <w:noProof/>
                        <w:color w:val="000000"/>
                        <w:szCs w:val="20"/>
                      </w:rPr>
                    </w:pPr>
                  </w:p>
                </w:txbxContent>
              </v:textbox>
              <w10:wrap anchorx="page" anchory="page"/>
            </v:shape>
          </w:pict>
        </mc:Fallback>
      </mc:AlternateContent>
    </w:r>
    <w:r w:rsidR="10E066BD">
      <w:rPr>
        <w:noProof/>
        <w:color w:val="2B579A"/>
      </w:rPr>
      <w:drawing>
        <wp:inline distT="0" distB="0" distL="0" distR="0" wp14:anchorId="76C69071" wp14:editId="7075D906">
          <wp:extent cx="6200775" cy="819150"/>
          <wp:effectExtent l="0" t="0" r="0" b="0"/>
          <wp:docPr id="55059943" name="Picture 55059943" descr="Disability Support Services and MS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59943" name="Picture 55059943" descr="Disability Support Services and MSD logos"/>
                  <pic:cNvPicPr/>
                </pic:nvPicPr>
                <pic:blipFill>
                  <a:blip r:embed="rId1">
                    <a:extLst>
                      <a:ext uri="{28A0092B-C50C-407E-A947-70E740481C1C}">
                        <a14:useLocalDpi xmlns:a14="http://schemas.microsoft.com/office/drawing/2010/main" val="0"/>
                      </a:ext>
                    </a:extLst>
                  </a:blip>
                  <a:stretch>
                    <a:fillRect/>
                  </a:stretch>
                </pic:blipFill>
                <pic:spPr>
                  <a:xfrm>
                    <a:off x="0" y="0"/>
                    <a:ext cx="6200775" cy="819150"/>
                  </a:xfrm>
                  <a:prstGeom prst="rect">
                    <a:avLst/>
                  </a:prstGeom>
                </pic:spPr>
              </pic:pic>
            </a:graphicData>
          </a:graphic>
        </wp:inline>
      </w:drawing>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13FC" w14:textId="64FB148F" w:rsidR="00932BB5" w:rsidRDefault="00932BB5">
    <w:pPr>
      <w:pStyle w:val="Header"/>
    </w:pPr>
    <w:r>
      <w:rPr>
        <w:noProof/>
        <w:color w:val="2B579A"/>
      </w:rPr>
      <mc:AlternateContent>
        <mc:Choice Requires="wps">
          <w:drawing>
            <wp:anchor distT="0" distB="0" distL="0" distR="0" simplePos="0" relativeHeight="251658240" behindDoc="0" locked="0" layoutInCell="1" allowOverlap="1" wp14:anchorId="0F50954F" wp14:editId="71CC4635">
              <wp:simplePos x="635" y="635"/>
              <wp:positionH relativeFrom="page">
                <wp:align>center</wp:align>
              </wp:positionH>
              <wp:positionV relativeFrom="page">
                <wp:align>top</wp:align>
              </wp:positionV>
              <wp:extent cx="443865" cy="443865"/>
              <wp:effectExtent l="0" t="0" r="10160" b="4445"/>
              <wp:wrapNone/>
              <wp:docPr id="867220115"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4F904C" w14:textId="215F8C7A" w:rsidR="00932BB5" w:rsidRPr="00932BB5" w:rsidRDefault="00932BB5" w:rsidP="00932BB5">
                          <w:pPr>
                            <w:spacing w:after="0"/>
                            <w:rPr>
                              <w:rFonts w:ascii="Calibri" w:hAnsi="Calibri" w:cs="Calibri"/>
                              <w:noProof/>
                              <w:color w:val="000000"/>
                              <w:szCs w:val="20"/>
                            </w:rPr>
                          </w:pPr>
                          <w:r w:rsidRPr="00932BB5">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50954F"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24F904C" w14:textId="215F8C7A" w:rsidR="00932BB5" w:rsidRPr="00932BB5" w:rsidRDefault="00932BB5" w:rsidP="00932BB5">
                    <w:pPr>
                      <w:spacing w:after="0"/>
                      <w:rPr>
                        <w:rFonts w:ascii="Calibri" w:hAnsi="Calibri" w:cs="Calibri"/>
                        <w:noProof/>
                        <w:color w:val="000000"/>
                        <w:szCs w:val="20"/>
                      </w:rPr>
                    </w:pPr>
                    <w:r w:rsidRPr="00932BB5">
                      <w:rPr>
                        <w:rFonts w:ascii="Calibri" w:hAnsi="Calibri" w:cs="Calibri"/>
                        <w:noProof/>
                        <w:color w:val="000000"/>
                        <w:szCs w:val="20"/>
                      </w:rPr>
                      <w:t>IN-CONFIDENCE</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1A64D859"/>
    <w:multiLevelType w:val="hybridMultilevel"/>
    <w:tmpl w:val="43E412EE"/>
    <w:lvl w:ilvl="0" w:tplc="87124658">
      <w:start w:val="1"/>
      <w:numFmt w:val="bullet"/>
      <w:lvlText w:val=""/>
      <w:lvlJc w:val="left"/>
      <w:pPr>
        <w:ind w:left="720" w:hanging="360"/>
      </w:pPr>
      <w:rPr>
        <w:rFonts w:ascii="Symbol" w:hAnsi="Symbol" w:hint="default"/>
      </w:rPr>
    </w:lvl>
    <w:lvl w:ilvl="1" w:tplc="0B5876F2">
      <w:start w:val="1"/>
      <w:numFmt w:val="bullet"/>
      <w:lvlText w:val="o"/>
      <w:lvlJc w:val="left"/>
      <w:pPr>
        <w:ind w:left="1440" w:hanging="360"/>
      </w:pPr>
      <w:rPr>
        <w:rFonts w:ascii="Courier New" w:hAnsi="Courier New" w:hint="default"/>
      </w:rPr>
    </w:lvl>
    <w:lvl w:ilvl="2" w:tplc="8B5268DC">
      <w:start w:val="1"/>
      <w:numFmt w:val="bullet"/>
      <w:lvlText w:val=""/>
      <w:lvlJc w:val="left"/>
      <w:pPr>
        <w:ind w:left="2160" w:hanging="360"/>
      </w:pPr>
      <w:rPr>
        <w:rFonts w:ascii="Wingdings" w:hAnsi="Wingdings" w:hint="default"/>
      </w:rPr>
    </w:lvl>
    <w:lvl w:ilvl="3" w:tplc="555C1F42">
      <w:start w:val="1"/>
      <w:numFmt w:val="bullet"/>
      <w:lvlText w:val=""/>
      <w:lvlJc w:val="left"/>
      <w:pPr>
        <w:ind w:left="2880" w:hanging="360"/>
      </w:pPr>
      <w:rPr>
        <w:rFonts w:ascii="Symbol" w:hAnsi="Symbol" w:hint="default"/>
      </w:rPr>
    </w:lvl>
    <w:lvl w:ilvl="4" w:tplc="70B2DA0A">
      <w:start w:val="1"/>
      <w:numFmt w:val="bullet"/>
      <w:lvlText w:val="o"/>
      <w:lvlJc w:val="left"/>
      <w:pPr>
        <w:ind w:left="3600" w:hanging="360"/>
      </w:pPr>
      <w:rPr>
        <w:rFonts w:ascii="Courier New" w:hAnsi="Courier New" w:hint="default"/>
      </w:rPr>
    </w:lvl>
    <w:lvl w:ilvl="5" w:tplc="40BE1D90">
      <w:start w:val="1"/>
      <w:numFmt w:val="bullet"/>
      <w:lvlText w:val=""/>
      <w:lvlJc w:val="left"/>
      <w:pPr>
        <w:ind w:left="4320" w:hanging="360"/>
      </w:pPr>
      <w:rPr>
        <w:rFonts w:ascii="Wingdings" w:hAnsi="Wingdings" w:hint="default"/>
      </w:rPr>
    </w:lvl>
    <w:lvl w:ilvl="6" w:tplc="611CF11A">
      <w:start w:val="1"/>
      <w:numFmt w:val="bullet"/>
      <w:lvlText w:val=""/>
      <w:lvlJc w:val="left"/>
      <w:pPr>
        <w:ind w:left="5040" w:hanging="360"/>
      </w:pPr>
      <w:rPr>
        <w:rFonts w:ascii="Symbol" w:hAnsi="Symbol" w:hint="default"/>
      </w:rPr>
    </w:lvl>
    <w:lvl w:ilvl="7" w:tplc="3768F7DE">
      <w:start w:val="1"/>
      <w:numFmt w:val="bullet"/>
      <w:lvlText w:val="o"/>
      <w:lvlJc w:val="left"/>
      <w:pPr>
        <w:ind w:left="5760" w:hanging="360"/>
      </w:pPr>
      <w:rPr>
        <w:rFonts w:ascii="Courier New" w:hAnsi="Courier New" w:hint="default"/>
      </w:rPr>
    </w:lvl>
    <w:lvl w:ilvl="8" w:tplc="9C34EBB2">
      <w:start w:val="1"/>
      <w:numFmt w:val="bullet"/>
      <w:lvlText w:val=""/>
      <w:lvlJc w:val="left"/>
      <w:pPr>
        <w:ind w:left="6480" w:hanging="360"/>
      </w:pPr>
      <w:rPr>
        <w:rFonts w:ascii="Wingdings" w:hAnsi="Wingdings" w:hint="default"/>
      </w:rPr>
    </w:lvl>
  </w:abstractNum>
  <w:abstractNum w:abstractNumId="16" w15:restartNumberingAfterBreak="0">
    <w:nsid w:val="270F13AC"/>
    <w:multiLevelType w:val="hybridMultilevel"/>
    <w:tmpl w:val="AF1AF3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8A9D98D"/>
    <w:multiLevelType w:val="hybridMultilevel"/>
    <w:tmpl w:val="EC702294"/>
    <w:lvl w:ilvl="0" w:tplc="FFE8EC60">
      <w:start w:val="1"/>
      <w:numFmt w:val="bullet"/>
      <w:lvlText w:val=""/>
      <w:lvlJc w:val="left"/>
      <w:pPr>
        <w:ind w:left="720" w:hanging="360"/>
      </w:pPr>
      <w:rPr>
        <w:rFonts w:ascii="Symbol" w:hAnsi="Symbol" w:hint="default"/>
      </w:rPr>
    </w:lvl>
    <w:lvl w:ilvl="1" w:tplc="B4AC9DAE">
      <w:start w:val="1"/>
      <w:numFmt w:val="bullet"/>
      <w:lvlText w:val="o"/>
      <w:lvlJc w:val="left"/>
      <w:pPr>
        <w:ind w:left="1440" w:hanging="360"/>
      </w:pPr>
      <w:rPr>
        <w:rFonts w:ascii="Courier New" w:hAnsi="Courier New" w:hint="default"/>
      </w:rPr>
    </w:lvl>
    <w:lvl w:ilvl="2" w:tplc="C714DCA2">
      <w:start w:val="1"/>
      <w:numFmt w:val="bullet"/>
      <w:lvlText w:val=""/>
      <w:lvlJc w:val="left"/>
      <w:pPr>
        <w:ind w:left="2160" w:hanging="360"/>
      </w:pPr>
      <w:rPr>
        <w:rFonts w:ascii="Wingdings" w:hAnsi="Wingdings" w:hint="default"/>
      </w:rPr>
    </w:lvl>
    <w:lvl w:ilvl="3" w:tplc="B0C6315A">
      <w:start w:val="1"/>
      <w:numFmt w:val="bullet"/>
      <w:lvlText w:val=""/>
      <w:lvlJc w:val="left"/>
      <w:pPr>
        <w:ind w:left="2880" w:hanging="360"/>
      </w:pPr>
      <w:rPr>
        <w:rFonts w:ascii="Symbol" w:hAnsi="Symbol" w:hint="default"/>
      </w:rPr>
    </w:lvl>
    <w:lvl w:ilvl="4" w:tplc="9466A562">
      <w:start w:val="1"/>
      <w:numFmt w:val="bullet"/>
      <w:lvlText w:val="o"/>
      <w:lvlJc w:val="left"/>
      <w:pPr>
        <w:ind w:left="3600" w:hanging="360"/>
      </w:pPr>
      <w:rPr>
        <w:rFonts w:ascii="Courier New" w:hAnsi="Courier New" w:hint="default"/>
      </w:rPr>
    </w:lvl>
    <w:lvl w:ilvl="5" w:tplc="4FCCB0E2">
      <w:start w:val="1"/>
      <w:numFmt w:val="bullet"/>
      <w:lvlText w:val=""/>
      <w:lvlJc w:val="left"/>
      <w:pPr>
        <w:ind w:left="4320" w:hanging="360"/>
      </w:pPr>
      <w:rPr>
        <w:rFonts w:ascii="Wingdings" w:hAnsi="Wingdings" w:hint="default"/>
      </w:rPr>
    </w:lvl>
    <w:lvl w:ilvl="6" w:tplc="45A42B74">
      <w:start w:val="1"/>
      <w:numFmt w:val="bullet"/>
      <w:lvlText w:val=""/>
      <w:lvlJc w:val="left"/>
      <w:pPr>
        <w:ind w:left="5040" w:hanging="360"/>
      </w:pPr>
      <w:rPr>
        <w:rFonts w:ascii="Symbol" w:hAnsi="Symbol" w:hint="default"/>
      </w:rPr>
    </w:lvl>
    <w:lvl w:ilvl="7" w:tplc="82BAA3FE">
      <w:start w:val="1"/>
      <w:numFmt w:val="bullet"/>
      <w:lvlText w:val="o"/>
      <w:lvlJc w:val="left"/>
      <w:pPr>
        <w:ind w:left="5760" w:hanging="360"/>
      </w:pPr>
      <w:rPr>
        <w:rFonts w:ascii="Courier New" w:hAnsi="Courier New" w:hint="default"/>
      </w:rPr>
    </w:lvl>
    <w:lvl w:ilvl="8" w:tplc="CBF29360">
      <w:start w:val="1"/>
      <w:numFmt w:val="bullet"/>
      <w:lvlText w:val=""/>
      <w:lvlJc w:val="left"/>
      <w:pPr>
        <w:ind w:left="6480" w:hanging="360"/>
      </w:pPr>
      <w:rPr>
        <w:rFonts w:ascii="Wingdings" w:hAnsi="Wingdings" w:hint="default"/>
      </w:rPr>
    </w:lvl>
  </w:abstractNum>
  <w:abstractNum w:abstractNumId="18" w15:restartNumberingAfterBreak="0">
    <w:nsid w:val="2AFE7E1D"/>
    <w:multiLevelType w:val="hybridMultilevel"/>
    <w:tmpl w:val="09520A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1"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48F3ADA"/>
    <w:multiLevelType w:val="hybridMultilevel"/>
    <w:tmpl w:val="FE7ECA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7"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910A80"/>
    <w:multiLevelType w:val="hybridMultilevel"/>
    <w:tmpl w:val="FB187E9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9"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4E45641"/>
    <w:multiLevelType w:val="hybridMultilevel"/>
    <w:tmpl w:val="A0A2D6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08451782">
    <w:abstractNumId w:val="15"/>
  </w:num>
  <w:num w:numId="2" w16cid:durableId="428819036">
    <w:abstractNumId w:val="17"/>
  </w:num>
  <w:num w:numId="3" w16cid:durableId="1808081691">
    <w:abstractNumId w:val="20"/>
  </w:num>
  <w:num w:numId="4" w16cid:durableId="9321266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20247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4014734">
    <w:abstractNumId w:val="14"/>
  </w:num>
  <w:num w:numId="7" w16cid:durableId="179440080">
    <w:abstractNumId w:val="9"/>
  </w:num>
  <w:num w:numId="8" w16cid:durableId="1438063739">
    <w:abstractNumId w:val="7"/>
  </w:num>
  <w:num w:numId="9" w16cid:durableId="371685483">
    <w:abstractNumId w:val="27"/>
  </w:num>
  <w:num w:numId="10" w16cid:durableId="155565635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1819436">
    <w:abstractNumId w:val="9"/>
  </w:num>
  <w:num w:numId="12" w16cid:durableId="2130774993">
    <w:abstractNumId w:val="12"/>
  </w:num>
  <w:num w:numId="13" w16cid:durableId="2092042248">
    <w:abstractNumId w:val="12"/>
  </w:num>
  <w:num w:numId="14" w16cid:durableId="689181574">
    <w:abstractNumId w:val="9"/>
  </w:num>
  <w:num w:numId="15" w16cid:durableId="1970892623">
    <w:abstractNumId w:val="10"/>
  </w:num>
  <w:num w:numId="16" w16cid:durableId="192116914">
    <w:abstractNumId w:val="23"/>
  </w:num>
  <w:num w:numId="17" w16cid:durableId="398481736">
    <w:abstractNumId w:val="13"/>
  </w:num>
  <w:num w:numId="18" w16cid:durableId="299266191">
    <w:abstractNumId w:val="6"/>
  </w:num>
  <w:num w:numId="19" w16cid:durableId="1371765474">
    <w:abstractNumId w:val="5"/>
  </w:num>
  <w:num w:numId="20" w16cid:durableId="337462044">
    <w:abstractNumId w:val="4"/>
  </w:num>
  <w:num w:numId="21" w16cid:durableId="1587183398">
    <w:abstractNumId w:val="8"/>
  </w:num>
  <w:num w:numId="22" w16cid:durableId="678045937">
    <w:abstractNumId w:val="3"/>
  </w:num>
  <w:num w:numId="23" w16cid:durableId="1131286570">
    <w:abstractNumId w:val="2"/>
  </w:num>
  <w:num w:numId="24" w16cid:durableId="190539286">
    <w:abstractNumId w:val="1"/>
  </w:num>
  <w:num w:numId="25" w16cid:durableId="81030490">
    <w:abstractNumId w:val="0"/>
  </w:num>
  <w:num w:numId="26" w16cid:durableId="1651518285">
    <w:abstractNumId w:val="19"/>
  </w:num>
  <w:num w:numId="27" w16cid:durableId="1474635111">
    <w:abstractNumId w:val="30"/>
  </w:num>
  <w:num w:numId="28" w16cid:durableId="1574008043">
    <w:abstractNumId w:val="32"/>
  </w:num>
  <w:num w:numId="29" w16cid:durableId="229312326">
    <w:abstractNumId w:val="29"/>
  </w:num>
  <w:num w:numId="30" w16cid:durableId="509225162">
    <w:abstractNumId w:val="21"/>
  </w:num>
  <w:num w:numId="31" w16cid:durableId="370493636">
    <w:abstractNumId w:val="11"/>
  </w:num>
  <w:num w:numId="32" w16cid:durableId="503282136">
    <w:abstractNumId w:val="22"/>
  </w:num>
  <w:num w:numId="33" w16cid:durableId="1287197699">
    <w:abstractNumId w:val="33"/>
  </w:num>
  <w:num w:numId="34" w16cid:durableId="235633748">
    <w:abstractNumId w:val="24"/>
  </w:num>
  <w:num w:numId="35" w16cid:durableId="237713255">
    <w:abstractNumId w:val="16"/>
  </w:num>
  <w:num w:numId="36" w16cid:durableId="123889933">
    <w:abstractNumId w:val="28"/>
  </w:num>
  <w:num w:numId="37" w16cid:durableId="1589969070">
    <w:abstractNumId w:val="25"/>
  </w:num>
  <w:num w:numId="38" w16cid:durableId="1441727133">
    <w:abstractNumId w:val="31"/>
  </w:num>
  <w:num w:numId="39" w16cid:durableId="13722194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BB5"/>
    <w:rsid w:val="00000B4C"/>
    <w:rsid w:val="00004AB9"/>
    <w:rsid w:val="00005BBE"/>
    <w:rsid w:val="00005F59"/>
    <w:rsid w:val="00010022"/>
    <w:rsid w:val="000106D0"/>
    <w:rsid w:val="000112E6"/>
    <w:rsid w:val="00025282"/>
    <w:rsid w:val="000262AA"/>
    <w:rsid w:val="000301B4"/>
    <w:rsid w:val="00032B39"/>
    <w:rsid w:val="00032DB9"/>
    <w:rsid w:val="00034336"/>
    <w:rsid w:val="00037CB0"/>
    <w:rsid w:val="00042023"/>
    <w:rsid w:val="000466AC"/>
    <w:rsid w:val="00047B80"/>
    <w:rsid w:val="00054185"/>
    <w:rsid w:val="00055270"/>
    <w:rsid w:val="00055B43"/>
    <w:rsid w:val="00060E3A"/>
    <w:rsid w:val="000675E7"/>
    <w:rsid w:val="00070727"/>
    <w:rsid w:val="000741B2"/>
    <w:rsid w:val="0008189C"/>
    <w:rsid w:val="000845A0"/>
    <w:rsid w:val="00086950"/>
    <w:rsid w:val="00094C1C"/>
    <w:rsid w:val="00094E29"/>
    <w:rsid w:val="00094E3B"/>
    <w:rsid w:val="00096A2F"/>
    <w:rsid w:val="000971C8"/>
    <w:rsid w:val="000A1E5B"/>
    <w:rsid w:val="000A252C"/>
    <w:rsid w:val="000A3C1A"/>
    <w:rsid w:val="000A3CCC"/>
    <w:rsid w:val="000A576B"/>
    <w:rsid w:val="000A7092"/>
    <w:rsid w:val="000B148E"/>
    <w:rsid w:val="000B514D"/>
    <w:rsid w:val="000B71D1"/>
    <w:rsid w:val="000B751D"/>
    <w:rsid w:val="000D39DC"/>
    <w:rsid w:val="000D6F92"/>
    <w:rsid w:val="000D7D4A"/>
    <w:rsid w:val="000E0EFB"/>
    <w:rsid w:val="000E3BB9"/>
    <w:rsid w:val="000E58EE"/>
    <w:rsid w:val="000E6A6E"/>
    <w:rsid w:val="000E7EB5"/>
    <w:rsid w:val="000F36DD"/>
    <w:rsid w:val="00106AED"/>
    <w:rsid w:val="00107E76"/>
    <w:rsid w:val="00113177"/>
    <w:rsid w:val="00113EAF"/>
    <w:rsid w:val="0012079D"/>
    <w:rsid w:val="00121F84"/>
    <w:rsid w:val="001255BB"/>
    <w:rsid w:val="00125B56"/>
    <w:rsid w:val="0013142E"/>
    <w:rsid w:val="00131E08"/>
    <w:rsid w:val="00135260"/>
    <w:rsid w:val="00137863"/>
    <w:rsid w:val="00145A50"/>
    <w:rsid w:val="0015105E"/>
    <w:rsid w:val="001536A5"/>
    <w:rsid w:val="00153A3D"/>
    <w:rsid w:val="00155967"/>
    <w:rsid w:val="00161E82"/>
    <w:rsid w:val="00162A7F"/>
    <w:rsid w:val="00166925"/>
    <w:rsid w:val="00173BD4"/>
    <w:rsid w:val="00173E56"/>
    <w:rsid w:val="001930BA"/>
    <w:rsid w:val="001956E1"/>
    <w:rsid w:val="00197A14"/>
    <w:rsid w:val="001A18D4"/>
    <w:rsid w:val="001A286B"/>
    <w:rsid w:val="001A47CF"/>
    <w:rsid w:val="001A50E2"/>
    <w:rsid w:val="001A7B71"/>
    <w:rsid w:val="001B061A"/>
    <w:rsid w:val="001B59D9"/>
    <w:rsid w:val="001C0EE1"/>
    <w:rsid w:val="001C374D"/>
    <w:rsid w:val="001C3959"/>
    <w:rsid w:val="001D1FE8"/>
    <w:rsid w:val="001D3744"/>
    <w:rsid w:val="001D4DF4"/>
    <w:rsid w:val="001D73A0"/>
    <w:rsid w:val="001D7E11"/>
    <w:rsid w:val="001D7EDB"/>
    <w:rsid w:val="001E001B"/>
    <w:rsid w:val="001E3D14"/>
    <w:rsid w:val="001E7B0A"/>
    <w:rsid w:val="001F01BF"/>
    <w:rsid w:val="002026A4"/>
    <w:rsid w:val="00207810"/>
    <w:rsid w:val="00213DA6"/>
    <w:rsid w:val="00216302"/>
    <w:rsid w:val="00216BA1"/>
    <w:rsid w:val="00224AF8"/>
    <w:rsid w:val="00226CEC"/>
    <w:rsid w:val="00232348"/>
    <w:rsid w:val="002333BC"/>
    <w:rsid w:val="00233451"/>
    <w:rsid w:val="0023346B"/>
    <w:rsid w:val="00236D2D"/>
    <w:rsid w:val="00241747"/>
    <w:rsid w:val="00244EB9"/>
    <w:rsid w:val="00245766"/>
    <w:rsid w:val="002459EE"/>
    <w:rsid w:val="00245A2B"/>
    <w:rsid w:val="00245E94"/>
    <w:rsid w:val="00250279"/>
    <w:rsid w:val="00250434"/>
    <w:rsid w:val="00250C60"/>
    <w:rsid w:val="00261534"/>
    <w:rsid w:val="002640D4"/>
    <w:rsid w:val="00265E34"/>
    <w:rsid w:val="00271047"/>
    <w:rsid w:val="0027368D"/>
    <w:rsid w:val="0027424A"/>
    <w:rsid w:val="002744E8"/>
    <w:rsid w:val="00274583"/>
    <w:rsid w:val="0027613F"/>
    <w:rsid w:val="00276316"/>
    <w:rsid w:val="002768BC"/>
    <w:rsid w:val="00276E18"/>
    <w:rsid w:val="00277B3B"/>
    <w:rsid w:val="00277DDE"/>
    <w:rsid w:val="00286791"/>
    <w:rsid w:val="00286F71"/>
    <w:rsid w:val="002927A5"/>
    <w:rsid w:val="00296F7D"/>
    <w:rsid w:val="00297D31"/>
    <w:rsid w:val="002B29F5"/>
    <w:rsid w:val="002C4BB6"/>
    <w:rsid w:val="002C5C0C"/>
    <w:rsid w:val="002C725E"/>
    <w:rsid w:val="002D1C62"/>
    <w:rsid w:val="002D250C"/>
    <w:rsid w:val="002D367B"/>
    <w:rsid w:val="002D6E17"/>
    <w:rsid w:val="002E13D8"/>
    <w:rsid w:val="002E2BB7"/>
    <w:rsid w:val="002E3805"/>
    <w:rsid w:val="002E6A81"/>
    <w:rsid w:val="002F02A8"/>
    <w:rsid w:val="002F35FC"/>
    <w:rsid w:val="002F6032"/>
    <w:rsid w:val="003023FF"/>
    <w:rsid w:val="003026B0"/>
    <w:rsid w:val="0030535F"/>
    <w:rsid w:val="003056C7"/>
    <w:rsid w:val="00313172"/>
    <w:rsid w:val="00313624"/>
    <w:rsid w:val="003137A0"/>
    <w:rsid w:val="003230EA"/>
    <w:rsid w:val="00323BC1"/>
    <w:rsid w:val="00323BEC"/>
    <w:rsid w:val="00325BC9"/>
    <w:rsid w:val="00327054"/>
    <w:rsid w:val="0033017B"/>
    <w:rsid w:val="003335F8"/>
    <w:rsid w:val="00340DCC"/>
    <w:rsid w:val="0034225F"/>
    <w:rsid w:val="00342BC8"/>
    <w:rsid w:val="003442A7"/>
    <w:rsid w:val="00350F58"/>
    <w:rsid w:val="00353F63"/>
    <w:rsid w:val="00354EC2"/>
    <w:rsid w:val="00360246"/>
    <w:rsid w:val="00362339"/>
    <w:rsid w:val="00367D86"/>
    <w:rsid w:val="00375D62"/>
    <w:rsid w:val="0037664C"/>
    <w:rsid w:val="00385035"/>
    <w:rsid w:val="003855AC"/>
    <w:rsid w:val="0038711B"/>
    <w:rsid w:val="00397220"/>
    <w:rsid w:val="003A2279"/>
    <w:rsid w:val="003A4B3E"/>
    <w:rsid w:val="003A780A"/>
    <w:rsid w:val="003B0A38"/>
    <w:rsid w:val="003B1494"/>
    <w:rsid w:val="003C210E"/>
    <w:rsid w:val="003C2F9C"/>
    <w:rsid w:val="003C464C"/>
    <w:rsid w:val="003D31D6"/>
    <w:rsid w:val="003D404C"/>
    <w:rsid w:val="003D5830"/>
    <w:rsid w:val="003D6FC5"/>
    <w:rsid w:val="003D7494"/>
    <w:rsid w:val="003E1A41"/>
    <w:rsid w:val="003E2869"/>
    <w:rsid w:val="003E3722"/>
    <w:rsid w:val="003E7924"/>
    <w:rsid w:val="003F0890"/>
    <w:rsid w:val="003F159E"/>
    <w:rsid w:val="003F292D"/>
    <w:rsid w:val="003F4B67"/>
    <w:rsid w:val="003F70C2"/>
    <w:rsid w:val="00400D22"/>
    <w:rsid w:val="004014F9"/>
    <w:rsid w:val="0040245C"/>
    <w:rsid w:val="0040310E"/>
    <w:rsid w:val="0040559C"/>
    <w:rsid w:val="00406991"/>
    <w:rsid w:val="00421823"/>
    <w:rsid w:val="004223C8"/>
    <w:rsid w:val="004227ED"/>
    <w:rsid w:val="00423357"/>
    <w:rsid w:val="004271E2"/>
    <w:rsid w:val="00430FB7"/>
    <w:rsid w:val="004324BB"/>
    <w:rsid w:val="00434DC4"/>
    <w:rsid w:val="00442B21"/>
    <w:rsid w:val="00442FCB"/>
    <w:rsid w:val="004437F9"/>
    <w:rsid w:val="00443B7F"/>
    <w:rsid w:val="00445BCE"/>
    <w:rsid w:val="00447970"/>
    <w:rsid w:val="004540C8"/>
    <w:rsid w:val="00454F25"/>
    <w:rsid w:val="00457D9A"/>
    <w:rsid w:val="00461C07"/>
    <w:rsid w:val="004710B8"/>
    <w:rsid w:val="00471EFA"/>
    <w:rsid w:val="00472665"/>
    <w:rsid w:val="00475262"/>
    <w:rsid w:val="004801C7"/>
    <w:rsid w:val="004852EF"/>
    <w:rsid w:val="00485A46"/>
    <w:rsid w:val="00491FB5"/>
    <w:rsid w:val="004969FD"/>
    <w:rsid w:val="004A19B9"/>
    <w:rsid w:val="004A245F"/>
    <w:rsid w:val="004A5FB4"/>
    <w:rsid w:val="004B68E6"/>
    <w:rsid w:val="004B706A"/>
    <w:rsid w:val="004C1298"/>
    <w:rsid w:val="004C1F5C"/>
    <w:rsid w:val="004D33BE"/>
    <w:rsid w:val="004D59DD"/>
    <w:rsid w:val="004E0A48"/>
    <w:rsid w:val="004E136B"/>
    <w:rsid w:val="004E2008"/>
    <w:rsid w:val="004E2685"/>
    <w:rsid w:val="004E2998"/>
    <w:rsid w:val="004E45B1"/>
    <w:rsid w:val="004E489E"/>
    <w:rsid w:val="004E70F0"/>
    <w:rsid w:val="004F0E04"/>
    <w:rsid w:val="004F372B"/>
    <w:rsid w:val="004F4DF6"/>
    <w:rsid w:val="004F57FD"/>
    <w:rsid w:val="00507D73"/>
    <w:rsid w:val="0051028C"/>
    <w:rsid w:val="00511AC3"/>
    <w:rsid w:val="00515424"/>
    <w:rsid w:val="00516B58"/>
    <w:rsid w:val="005260F5"/>
    <w:rsid w:val="0053240C"/>
    <w:rsid w:val="00532DE9"/>
    <w:rsid w:val="005338DB"/>
    <w:rsid w:val="00533E65"/>
    <w:rsid w:val="0053750C"/>
    <w:rsid w:val="0055072F"/>
    <w:rsid w:val="005549A7"/>
    <w:rsid w:val="00556C7F"/>
    <w:rsid w:val="00560796"/>
    <w:rsid w:val="00561F4E"/>
    <w:rsid w:val="00562DC8"/>
    <w:rsid w:val="005634C1"/>
    <w:rsid w:val="0056681E"/>
    <w:rsid w:val="00566F1C"/>
    <w:rsid w:val="00572AA9"/>
    <w:rsid w:val="00585B15"/>
    <w:rsid w:val="00595906"/>
    <w:rsid w:val="005A7A79"/>
    <w:rsid w:val="005B11F9"/>
    <w:rsid w:val="005B1F34"/>
    <w:rsid w:val="005B4E0B"/>
    <w:rsid w:val="005C0B84"/>
    <w:rsid w:val="005C2AC4"/>
    <w:rsid w:val="005C43DE"/>
    <w:rsid w:val="005C4689"/>
    <w:rsid w:val="005C5509"/>
    <w:rsid w:val="005D7FC7"/>
    <w:rsid w:val="005F1957"/>
    <w:rsid w:val="005F3FCF"/>
    <w:rsid w:val="005F6E9D"/>
    <w:rsid w:val="005F79FE"/>
    <w:rsid w:val="00601AEF"/>
    <w:rsid w:val="00603C83"/>
    <w:rsid w:val="00606A41"/>
    <w:rsid w:val="00611ADE"/>
    <w:rsid w:val="0062293D"/>
    <w:rsid w:val="00626F6A"/>
    <w:rsid w:val="006276C4"/>
    <w:rsid w:val="00630999"/>
    <w:rsid w:val="00631520"/>
    <w:rsid w:val="00631D73"/>
    <w:rsid w:val="00635747"/>
    <w:rsid w:val="0063660A"/>
    <w:rsid w:val="00641629"/>
    <w:rsid w:val="00644B8E"/>
    <w:rsid w:val="006522CA"/>
    <w:rsid w:val="00655254"/>
    <w:rsid w:val="00671576"/>
    <w:rsid w:val="00671846"/>
    <w:rsid w:val="00676E28"/>
    <w:rsid w:val="00677D30"/>
    <w:rsid w:val="006842E1"/>
    <w:rsid w:val="00685214"/>
    <w:rsid w:val="00692A68"/>
    <w:rsid w:val="006A170E"/>
    <w:rsid w:val="006A4C14"/>
    <w:rsid w:val="006A516F"/>
    <w:rsid w:val="006B19BD"/>
    <w:rsid w:val="006C00DA"/>
    <w:rsid w:val="006C429D"/>
    <w:rsid w:val="006D3CF4"/>
    <w:rsid w:val="006E204C"/>
    <w:rsid w:val="006E4BF1"/>
    <w:rsid w:val="006F0A2D"/>
    <w:rsid w:val="006F1F8C"/>
    <w:rsid w:val="007036B5"/>
    <w:rsid w:val="0070446C"/>
    <w:rsid w:val="0070668E"/>
    <w:rsid w:val="00715805"/>
    <w:rsid w:val="00720DFA"/>
    <w:rsid w:val="0072253C"/>
    <w:rsid w:val="00726029"/>
    <w:rsid w:val="00726430"/>
    <w:rsid w:val="00726EC6"/>
    <w:rsid w:val="00727538"/>
    <w:rsid w:val="0073478B"/>
    <w:rsid w:val="007418ED"/>
    <w:rsid w:val="007517B4"/>
    <w:rsid w:val="00751CF7"/>
    <w:rsid w:val="00753C81"/>
    <w:rsid w:val="007600B6"/>
    <w:rsid w:val="0076719C"/>
    <w:rsid w:val="007724D3"/>
    <w:rsid w:val="00773AD6"/>
    <w:rsid w:val="0078002A"/>
    <w:rsid w:val="00781EEA"/>
    <w:rsid w:val="0078331D"/>
    <w:rsid w:val="00784743"/>
    <w:rsid w:val="00787FA5"/>
    <w:rsid w:val="00790671"/>
    <w:rsid w:val="00792A2E"/>
    <w:rsid w:val="0079671B"/>
    <w:rsid w:val="007A4F2E"/>
    <w:rsid w:val="007A7589"/>
    <w:rsid w:val="007A7E2C"/>
    <w:rsid w:val="007B0240"/>
    <w:rsid w:val="007B201A"/>
    <w:rsid w:val="007B48F8"/>
    <w:rsid w:val="007C2143"/>
    <w:rsid w:val="007C2D8D"/>
    <w:rsid w:val="007C3362"/>
    <w:rsid w:val="007C51EC"/>
    <w:rsid w:val="007D08DC"/>
    <w:rsid w:val="007D0EAA"/>
    <w:rsid w:val="007D4EF4"/>
    <w:rsid w:val="007D6158"/>
    <w:rsid w:val="007D6F69"/>
    <w:rsid w:val="007D73A3"/>
    <w:rsid w:val="007E0087"/>
    <w:rsid w:val="007E2D14"/>
    <w:rsid w:val="007E5E17"/>
    <w:rsid w:val="007F267D"/>
    <w:rsid w:val="007F3ACD"/>
    <w:rsid w:val="007F5157"/>
    <w:rsid w:val="007F72B6"/>
    <w:rsid w:val="007F77DD"/>
    <w:rsid w:val="0080133F"/>
    <w:rsid w:val="00803D2A"/>
    <w:rsid w:val="0080498F"/>
    <w:rsid w:val="00805232"/>
    <w:rsid w:val="00806D1E"/>
    <w:rsid w:val="00811EC8"/>
    <w:rsid w:val="0082535F"/>
    <w:rsid w:val="00827D19"/>
    <w:rsid w:val="00831430"/>
    <w:rsid w:val="0084055E"/>
    <w:rsid w:val="0084303D"/>
    <w:rsid w:val="00845F8C"/>
    <w:rsid w:val="008506AB"/>
    <w:rsid w:val="00854C59"/>
    <w:rsid w:val="00854E95"/>
    <w:rsid w:val="008557F9"/>
    <w:rsid w:val="00860654"/>
    <w:rsid w:val="00864A55"/>
    <w:rsid w:val="008657A5"/>
    <w:rsid w:val="00872B07"/>
    <w:rsid w:val="00873974"/>
    <w:rsid w:val="00880B52"/>
    <w:rsid w:val="00890F8A"/>
    <w:rsid w:val="008957A1"/>
    <w:rsid w:val="008958DA"/>
    <w:rsid w:val="008A3502"/>
    <w:rsid w:val="008A3CD9"/>
    <w:rsid w:val="008A5BB3"/>
    <w:rsid w:val="008A7AC2"/>
    <w:rsid w:val="008B2DD8"/>
    <w:rsid w:val="008D1C67"/>
    <w:rsid w:val="008D6462"/>
    <w:rsid w:val="008E2E57"/>
    <w:rsid w:val="008E31FB"/>
    <w:rsid w:val="008E3DDD"/>
    <w:rsid w:val="008E44B8"/>
    <w:rsid w:val="008E6922"/>
    <w:rsid w:val="008F1002"/>
    <w:rsid w:val="008F23B7"/>
    <w:rsid w:val="008F5671"/>
    <w:rsid w:val="008F6403"/>
    <w:rsid w:val="00901775"/>
    <w:rsid w:val="0090273D"/>
    <w:rsid w:val="00902C85"/>
    <w:rsid w:val="00903467"/>
    <w:rsid w:val="00903F27"/>
    <w:rsid w:val="00905D5F"/>
    <w:rsid w:val="009066FA"/>
    <w:rsid w:val="00906EAA"/>
    <w:rsid w:val="00913BEA"/>
    <w:rsid w:val="00916610"/>
    <w:rsid w:val="00916E4D"/>
    <w:rsid w:val="0092213A"/>
    <w:rsid w:val="00923517"/>
    <w:rsid w:val="00924273"/>
    <w:rsid w:val="00925B02"/>
    <w:rsid w:val="00932BB5"/>
    <w:rsid w:val="009378AE"/>
    <w:rsid w:val="0094497C"/>
    <w:rsid w:val="0094679C"/>
    <w:rsid w:val="00946FFE"/>
    <w:rsid w:val="009472B4"/>
    <w:rsid w:val="00955B1A"/>
    <w:rsid w:val="009575D1"/>
    <w:rsid w:val="00961B4A"/>
    <w:rsid w:val="00962B2C"/>
    <w:rsid w:val="009679ED"/>
    <w:rsid w:val="009707D0"/>
    <w:rsid w:val="00970DD2"/>
    <w:rsid w:val="00975E6F"/>
    <w:rsid w:val="0098014B"/>
    <w:rsid w:val="00982056"/>
    <w:rsid w:val="00982810"/>
    <w:rsid w:val="00982BCB"/>
    <w:rsid w:val="0098428C"/>
    <w:rsid w:val="009938C5"/>
    <w:rsid w:val="009948EA"/>
    <w:rsid w:val="009973D4"/>
    <w:rsid w:val="009A036E"/>
    <w:rsid w:val="009A43C3"/>
    <w:rsid w:val="009A4D9D"/>
    <w:rsid w:val="009A631F"/>
    <w:rsid w:val="009B144C"/>
    <w:rsid w:val="009B4765"/>
    <w:rsid w:val="009B7F24"/>
    <w:rsid w:val="009C6BAD"/>
    <w:rsid w:val="009D02C9"/>
    <w:rsid w:val="009D15F1"/>
    <w:rsid w:val="009D2B10"/>
    <w:rsid w:val="009D50D8"/>
    <w:rsid w:val="009D5B31"/>
    <w:rsid w:val="009D7763"/>
    <w:rsid w:val="009E1E21"/>
    <w:rsid w:val="009E6E43"/>
    <w:rsid w:val="009E7227"/>
    <w:rsid w:val="009E7ACA"/>
    <w:rsid w:val="009F2376"/>
    <w:rsid w:val="009F23F6"/>
    <w:rsid w:val="009F6768"/>
    <w:rsid w:val="00A01EE4"/>
    <w:rsid w:val="00A039C1"/>
    <w:rsid w:val="00A0482B"/>
    <w:rsid w:val="00A16508"/>
    <w:rsid w:val="00A1652B"/>
    <w:rsid w:val="00A2185C"/>
    <w:rsid w:val="00A2199C"/>
    <w:rsid w:val="00A24B72"/>
    <w:rsid w:val="00A24DE3"/>
    <w:rsid w:val="00A26289"/>
    <w:rsid w:val="00A3781D"/>
    <w:rsid w:val="00A4104B"/>
    <w:rsid w:val="00A41537"/>
    <w:rsid w:val="00A43896"/>
    <w:rsid w:val="00A44A46"/>
    <w:rsid w:val="00A52BF2"/>
    <w:rsid w:val="00A530E2"/>
    <w:rsid w:val="00A56F73"/>
    <w:rsid w:val="00A6244E"/>
    <w:rsid w:val="00A6509A"/>
    <w:rsid w:val="00A70B35"/>
    <w:rsid w:val="00A7436A"/>
    <w:rsid w:val="00A75E33"/>
    <w:rsid w:val="00A77D2C"/>
    <w:rsid w:val="00A80E99"/>
    <w:rsid w:val="00A83EBA"/>
    <w:rsid w:val="00A85B7E"/>
    <w:rsid w:val="00A86FE3"/>
    <w:rsid w:val="00A90EC1"/>
    <w:rsid w:val="00A91328"/>
    <w:rsid w:val="00A92E2B"/>
    <w:rsid w:val="00A95997"/>
    <w:rsid w:val="00A97D48"/>
    <w:rsid w:val="00AA235A"/>
    <w:rsid w:val="00AA5F2A"/>
    <w:rsid w:val="00AB30F6"/>
    <w:rsid w:val="00AB3BA7"/>
    <w:rsid w:val="00AB4E35"/>
    <w:rsid w:val="00AB711C"/>
    <w:rsid w:val="00AB7C0E"/>
    <w:rsid w:val="00AC4084"/>
    <w:rsid w:val="00AC756F"/>
    <w:rsid w:val="00AD0940"/>
    <w:rsid w:val="00AD34D1"/>
    <w:rsid w:val="00AD5109"/>
    <w:rsid w:val="00AD6C20"/>
    <w:rsid w:val="00AE007C"/>
    <w:rsid w:val="00AE4265"/>
    <w:rsid w:val="00AF0FFC"/>
    <w:rsid w:val="00B01906"/>
    <w:rsid w:val="00B06C39"/>
    <w:rsid w:val="00B11055"/>
    <w:rsid w:val="00B229F8"/>
    <w:rsid w:val="00B3054A"/>
    <w:rsid w:val="00B3321B"/>
    <w:rsid w:val="00B33D86"/>
    <w:rsid w:val="00B35E0D"/>
    <w:rsid w:val="00B41635"/>
    <w:rsid w:val="00B52F1E"/>
    <w:rsid w:val="00B5357A"/>
    <w:rsid w:val="00B544C5"/>
    <w:rsid w:val="00B56F0B"/>
    <w:rsid w:val="00B574FC"/>
    <w:rsid w:val="00B64337"/>
    <w:rsid w:val="00B650EA"/>
    <w:rsid w:val="00B705F8"/>
    <w:rsid w:val="00B72377"/>
    <w:rsid w:val="00B7329F"/>
    <w:rsid w:val="00B7462D"/>
    <w:rsid w:val="00B7463F"/>
    <w:rsid w:val="00B7683B"/>
    <w:rsid w:val="00B8493A"/>
    <w:rsid w:val="00B90553"/>
    <w:rsid w:val="00BA55F1"/>
    <w:rsid w:val="00BB193D"/>
    <w:rsid w:val="00BB20FE"/>
    <w:rsid w:val="00BB557D"/>
    <w:rsid w:val="00BC484F"/>
    <w:rsid w:val="00BD058D"/>
    <w:rsid w:val="00BD0632"/>
    <w:rsid w:val="00BD3C3E"/>
    <w:rsid w:val="00BD4526"/>
    <w:rsid w:val="00BD56BD"/>
    <w:rsid w:val="00BD5B12"/>
    <w:rsid w:val="00BD680A"/>
    <w:rsid w:val="00BE5F00"/>
    <w:rsid w:val="00BE6AD2"/>
    <w:rsid w:val="00BF2FE8"/>
    <w:rsid w:val="00BF3971"/>
    <w:rsid w:val="00BF4389"/>
    <w:rsid w:val="00BF6A83"/>
    <w:rsid w:val="00C00D7B"/>
    <w:rsid w:val="00C01D3D"/>
    <w:rsid w:val="00C0314F"/>
    <w:rsid w:val="00C04392"/>
    <w:rsid w:val="00C06B38"/>
    <w:rsid w:val="00C06C70"/>
    <w:rsid w:val="00C12FC6"/>
    <w:rsid w:val="00C141DD"/>
    <w:rsid w:val="00C1569C"/>
    <w:rsid w:val="00C17E7C"/>
    <w:rsid w:val="00C24742"/>
    <w:rsid w:val="00C279DA"/>
    <w:rsid w:val="00C30358"/>
    <w:rsid w:val="00C3084A"/>
    <w:rsid w:val="00C35C57"/>
    <w:rsid w:val="00C3742B"/>
    <w:rsid w:val="00C40117"/>
    <w:rsid w:val="00C46329"/>
    <w:rsid w:val="00C47054"/>
    <w:rsid w:val="00C5022B"/>
    <w:rsid w:val="00C503A7"/>
    <w:rsid w:val="00C51AB3"/>
    <w:rsid w:val="00C51C94"/>
    <w:rsid w:val="00C51E5C"/>
    <w:rsid w:val="00C5215F"/>
    <w:rsid w:val="00C5275E"/>
    <w:rsid w:val="00C52E11"/>
    <w:rsid w:val="00C558B5"/>
    <w:rsid w:val="00C62593"/>
    <w:rsid w:val="00C643DE"/>
    <w:rsid w:val="00C649F9"/>
    <w:rsid w:val="00C71EF8"/>
    <w:rsid w:val="00C72B98"/>
    <w:rsid w:val="00C76AB3"/>
    <w:rsid w:val="00C76C0E"/>
    <w:rsid w:val="00C76E90"/>
    <w:rsid w:val="00C778DE"/>
    <w:rsid w:val="00C81981"/>
    <w:rsid w:val="00C86429"/>
    <w:rsid w:val="00C91DC4"/>
    <w:rsid w:val="00C93790"/>
    <w:rsid w:val="00C951BE"/>
    <w:rsid w:val="00CA23C0"/>
    <w:rsid w:val="00CA5591"/>
    <w:rsid w:val="00CA66D4"/>
    <w:rsid w:val="00CA79C5"/>
    <w:rsid w:val="00CB4A28"/>
    <w:rsid w:val="00CB5F86"/>
    <w:rsid w:val="00CC34D8"/>
    <w:rsid w:val="00CC422B"/>
    <w:rsid w:val="00CC5292"/>
    <w:rsid w:val="00CC7149"/>
    <w:rsid w:val="00CD011B"/>
    <w:rsid w:val="00CD039C"/>
    <w:rsid w:val="00CD30AD"/>
    <w:rsid w:val="00CD68CB"/>
    <w:rsid w:val="00CE1709"/>
    <w:rsid w:val="00CE2D56"/>
    <w:rsid w:val="00CE39B9"/>
    <w:rsid w:val="00CE4C3F"/>
    <w:rsid w:val="00CF1909"/>
    <w:rsid w:val="00CF1B6F"/>
    <w:rsid w:val="00CF59F9"/>
    <w:rsid w:val="00CF781F"/>
    <w:rsid w:val="00D02FDD"/>
    <w:rsid w:val="00D05B6F"/>
    <w:rsid w:val="00D07643"/>
    <w:rsid w:val="00D07C48"/>
    <w:rsid w:val="00D14CC6"/>
    <w:rsid w:val="00D150BC"/>
    <w:rsid w:val="00D166A1"/>
    <w:rsid w:val="00D21674"/>
    <w:rsid w:val="00D27895"/>
    <w:rsid w:val="00D3023E"/>
    <w:rsid w:val="00D33C7E"/>
    <w:rsid w:val="00D34EA0"/>
    <w:rsid w:val="00D35D63"/>
    <w:rsid w:val="00D363EA"/>
    <w:rsid w:val="00D37DDC"/>
    <w:rsid w:val="00D40862"/>
    <w:rsid w:val="00D4385B"/>
    <w:rsid w:val="00D43941"/>
    <w:rsid w:val="00D576CF"/>
    <w:rsid w:val="00D65CD4"/>
    <w:rsid w:val="00D73951"/>
    <w:rsid w:val="00D74434"/>
    <w:rsid w:val="00D75A86"/>
    <w:rsid w:val="00D94435"/>
    <w:rsid w:val="00D97E1C"/>
    <w:rsid w:val="00DA2698"/>
    <w:rsid w:val="00DA55C9"/>
    <w:rsid w:val="00DA5C41"/>
    <w:rsid w:val="00DA7EE3"/>
    <w:rsid w:val="00DB365C"/>
    <w:rsid w:val="00DB4C30"/>
    <w:rsid w:val="00DC1772"/>
    <w:rsid w:val="00DD2314"/>
    <w:rsid w:val="00DD2D96"/>
    <w:rsid w:val="00DD5311"/>
    <w:rsid w:val="00DD6907"/>
    <w:rsid w:val="00DD7350"/>
    <w:rsid w:val="00DD7526"/>
    <w:rsid w:val="00DE16F7"/>
    <w:rsid w:val="00DE30A8"/>
    <w:rsid w:val="00DF20EA"/>
    <w:rsid w:val="00DF21F9"/>
    <w:rsid w:val="00DF2387"/>
    <w:rsid w:val="00E07D0E"/>
    <w:rsid w:val="00E133AA"/>
    <w:rsid w:val="00E15348"/>
    <w:rsid w:val="00E166A6"/>
    <w:rsid w:val="00E22814"/>
    <w:rsid w:val="00E250E6"/>
    <w:rsid w:val="00E33CBA"/>
    <w:rsid w:val="00E36686"/>
    <w:rsid w:val="00E400E6"/>
    <w:rsid w:val="00E410B6"/>
    <w:rsid w:val="00E43749"/>
    <w:rsid w:val="00E47C37"/>
    <w:rsid w:val="00E47C93"/>
    <w:rsid w:val="00E504B0"/>
    <w:rsid w:val="00E53B72"/>
    <w:rsid w:val="00E605A7"/>
    <w:rsid w:val="00E61638"/>
    <w:rsid w:val="00E671C3"/>
    <w:rsid w:val="00E67E2B"/>
    <w:rsid w:val="00E73120"/>
    <w:rsid w:val="00E74F51"/>
    <w:rsid w:val="00E77A5F"/>
    <w:rsid w:val="00E83196"/>
    <w:rsid w:val="00E84208"/>
    <w:rsid w:val="00E8458E"/>
    <w:rsid w:val="00E90142"/>
    <w:rsid w:val="00E9269E"/>
    <w:rsid w:val="00E93EEA"/>
    <w:rsid w:val="00EA0C03"/>
    <w:rsid w:val="00EA2A4A"/>
    <w:rsid w:val="00EB1833"/>
    <w:rsid w:val="00EB2265"/>
    <w:rsid w:val="00EB5682"/>
    <w:rsid w:val="00EC4A46"/>
    <w:rsid w:val="00ED3A51"/>
    <w:rsid w:val="00ED5E83"/>
    <w:rsid w:val="00ED75A2"/>
    <w:rsid w:val="00EE0943"/>
    <w:rsid w:val="00EE0FF4"/>
    <w:rsid w:val="00EE2D45"/>
    <w:rsid w:val="00EE56A6"/>
    <w:rsid w:val="00EF20DF"/>
    <w:rsid w:val="00EF38E7"/>
    <w:rsid w:val="00EF5549"/>
    <w:rsid w:val="00EF6139"/>
    <w:rsid w:val="00EF743C"/>
    <w:rsid w:val="00EF76E6"/>
    <w:rsid w:val="00F046CC"/>
    <w:rsid w:val="00F06EE8"/>
    <w:rsid w:val="00F07349"/>
    <w:rsid w:val="00F113EF"/>
    <w:rsid w:val="00F126F3"/>
    <w:rsid w:val="00F12EF3"/>
    <w:rsid w:val="00F13826"/>
    <w:rsid w:val="00F177AE"/>
    <w:rsid w:val="00F21307"/>
    <w:rsid w:val="00F22AE5"/>
    <w:rsid w:val="00F24F98"/>
    <w:rsid w:val="00F269B7"/>
    <w:rsid w:val="00F31DEC"/>
    <w:rsid w:val="00F366AA"/>
    <w:rsid w:val="00F40359"/>
    <w:rsid w:val="00F41603"/>
    <w:rsid w:val="00F430F5"/>
    <w:rsid w:val="00F46C26"/>
    <w:rsid w:val="00F50BA7"/>
    <w:rsid w:val="00F51C73"/>
    <w:rsid w:val="00F6042C"/>
    <w:rsid w:val="00F60AE5"/>
    <w:rsid w:val="00F70E09"/>
    <w:rsid w:val="00F710FB"/>
    <w:rsid w:val="00F829C0"/>
    <w:rsid w:val="00F829F6"/>
    <w:rsid w:val="00F84D7D"/>
    <w:rsid w:val="00F87240"/>
    <w:rsid w:val="00F87C92"/>
    <w:rsid w:val="00F919DD"/>
    <w:rsid w:val="00F93224"/>
    <w:rsid w:val="00F93BAB"/>
    <w:rsid w:val="00F95A8D"/>
    <w:rsid w:val="00FA1BD6"/>
    <w:rsid w:val="00FA3169"/>
    <w:rsid w:val="00FA3233"/>
    <w:rsid w:val="00FA4C4D"/>
    <w:rsid w:val="00FA6DA4"/>
    <w:rsid w:val="00FB2411"/>
    <w:rsid w:val="00FB4AE5"/>
    <w:rsid w:val="00FB617E"/>
    <w:rsid w:val="00FB6B2B"/>
    <w:rsid w:val="00FC33AB"/>
    <w:rsid w:val="00FC7E42"/>
    <w:rsid w:val="00FE7C7B"/>
    <w:rsid w:val="00FF21F9"/>
    <w:rsid w:val="00FF6319"/>
    <w:rsid w:val="01004EFF"/>
    <w:rsid w:val="017F17DE"/>
    <w:rsid w:val="01B8F00B"/>
    <w:rsid w:val="020BFAFB"/>
    <w:rsid w:val="02160EA9"/>
    <w:rsid w:val="022C9C4A"/>
    <w:rsid w:val="02306158"/>
    <w:rsid w:val="024FB598"/>
    <w:rsid w:val="02590701"/>
    <w:rsid w:val="030A4F4E"/>
    <w:rsid w:val="033331FA"/>
    <w:rsid w:val="03CCDDCB"/>
    <w:rsid w:val="03CE0341"/>
    <w:rsid w:val="0407C498"/>
    <w:rsid w:val="0414565A"/>
    <w:rsid w:val="0437A918"/>
    <w:rsid w:val="048D8DBB"/>
    <w:rsid w:val="04B12234"/>
    <w:rsid w:val="050EA378"/>
    <w:rsid w:val="054E749B"/>
    <w:rsid w:val="056CF84A"/>
    <w:rsid w:val="057ABA22"/>
    <w:rsid w:val="05851E8C"/>
    <w:rsid w:val="05A06427"/>
    <w:rsid w:val="05D4019B"/>
    <w:rsid w:val="0638CAC3"/>
    <w:rsid w:val="063A72FD"/>
    <w:rsid w:val="063C5736"/>
    <w:rsid w:val="06436B1F"/>
    <w:rsid w:val="06BE4D97"/>
    <w:rsid w:val="06DFA3FB"/>
    <w:rsid w:val="06E2AEC7"/>
    <w:rsid w:val="072953A2"/>
    <w:rsid w:val="07A096C1"/>
    <w:rsid w:val="07ADA64C"/>
    <w:rsid w:val="08344A6F"/>
    <w:rsid w:val="0849671F"/>
    <w:rsid w:val="0849C84B"/>
    <w:rsid w:val="08570A0B"/>
    <w:rsid w:val="08D0CCF1"/>
    <w:rsid w:val="08FD2382"/>
    <w:rsid w:val="09E35265"/>
    <w:rsid w:val="0A2FF493"/>
    <w:rsid w:val="0A6B321E"/>
    <w:rsid w:val="0A77E9C5"/>
    <w:rsid w:val="0A80E441"/>
    <w:rsid w:val="0B061089"/>
    <w:rsid w:val="0BFBECD9"/>
    <w:rsid w:val="0C2CD567"/>
    <w:rsid w:val="0C4AFAE4"/>
    <w:rsid w:val="0C4F685D"/>
    <w:rsid w:val="0C87B20E"/>
    <w:rsid w:val="0CBB05CB"/>
    <w:rsid w:val="0CED0CEF"/>
    <w:rsid w:val="0CFB7F34"/>
    <w:rsid w:val="0D643C36"/>
    <w:rsid w:val="0DEFAF54"/>
    <w:rsid w:val="0EA8EA04"/>
    <w:rsid w:val="0FA1E8A3"/>
    <w:rsid w:val="0FC63258"/>
    <w:rsid w:val="10A1F7A7"/>
    <w:rsid w:val="10E066BD"/>
    <w:rsid w:val="10F49588"/>
    <w:rsid w:val="1133748E"/>
    <w:rsid w:val="118F1FB0"/>
    <w:rsid w:val="12418D96"/>
    <w:rsid w:val="12606F96"/>
    <w:rsid w:val="1276B27A"/>
    <w:rsid w:val="1303D179"/>
    <w:rsid w:val="13AAB8EB"/>
    <w:rsid w:val="142BA6EE"/>
    <w:rsid w:val="142F7B5A"/>
    <w:rsid w:val="14347AD2"/>
    <w:rsid w:val="1438433B"/>
    <w:rsid w:val="144842F0"/>
    <w:rsid w:val="1462BEE3"/>
    <w:rsid w:val="14D1A87C"/>
    <w:rsid w:val="153E4ADD"/>
    <w:rsid w:val="1563D3DE"/>
    <w:rsid w:val="15988E5C"/>
    <w:rsid w:val="1613060B"/>
    <w:rsid w:val="162983E4"/>
    <w:rsid w:val="165A63CA"/>
    <w:rsid w:val="166B9FAA"/>
    <w:rsid w:val="169A84FC"/>
    <w:rsid w:val="1702DA73"/>
    <w:rsid w:val="17C1BD4D"/>
    <w:rsid w:val="186B26CB"/>
    <w:rsid w:val="193B2BFB"/>
    <w:rsid w:val="19843987"/>
    <w:rsid w:val="1AA9624F"/>
    <w:rsid w:val="1AB1BCEC"/>
    <w:rsid w:val="1AD6D3FB"/>
    <w:rsid w:val="1B153BBF"/>
    <w:rsid w:val="1B1AF897"/>
    <w:rsid w:val="1B4D6B30"/>
    <w:rsid w:val="1B8A1999"/>
    <w:rsid w:val="1C1BE912"/>
    <w:rsid w:val="1C2F9993"/>
    <w:rsid w:val="1CAA51E1"/>
    <w:rsid w:val="1CDE400C"/>
    <w:rsid w:val="1CFC82BD"/>
    <w:rsid w:val="1D57B73B"/>
    <w:rsid w:val="1DBDA976"/>
    <w:rsid w:val="1DED3EBC"/>
    <w:rsid w:val="1E98416B"/>
    <w:rsid w:val="1EBA3421"/>
    <w:rsid w:val="1F27289F"/>
    <w:rsid w:val="1FCC8BC4"/>
    <w:rsid w:val="1FD44371"/>
    <w:rsid w:val="2026E7A3"/>
    <w:rsid w:val="2051DA3B"/>
    <w:rsid w:val="20A863B1"/>
    <w:rsid w:val="20B039F8"/>
    <w:rsid w:val="20BA34F6"/>
    <w:rsid w:val="21079035"/>
    <w:rsid w:val="214A8CA7"/>
    <w:rsid w:val="21C3878A"/>
    <w:rsid w:val="21CA2F99"/>
    <w:rsid w:val="22113391"/>
    <w:rsid w:val="22830DB3"/>
    <w:rsid w:val="22B5831F"/>
    <w:rsid w:val="22BCE03E"/>
    <w:rsid w:val="23330B33"/>
    <w:rsid w:val="23388FD4"/>
    <w:rsid w:val="235A7134"/>
    <w:rsid w:val="23A2B18C"/>
    <w:rsid w:val="23B126B1"/>
    <w:rsid w:val="23D4A110"/>
    <w:rsid w:val="242719FB"/>
    <w:rsid w:val="24C4E344"/>
    <w:rsid w:val="2566378A"/>
    <w:rsid w:val="25815AAB"/>
    <w:rsid w:val="2599370A"/>
    <w:rsid w:val="25B93DEE"/>
    <w:rsid w:val="26A672FA"/>
    <w:rsid w:val="26E9B53A"/>
    <w:rsid w:val="26F7C380"/>
    <w:rsid w:val="2709467A"/>
    <w:rsid w:val="270FE4B3"/>
    <w:rsid w:val="272649CB"/>
    <w:rsid w:val="2731B5E2"/>
    <w:rsid w:val="274459BB"/>
    <w:rsid w:val="276B7FBA"/>
    <w:rsid w:val="27A79CB5"/>
    <w:rsid w:val="27B7414F"/>
    <w:rsid w:val="2832AACA"/>
    <w:rsid w:val="2834C8EE"/>
    <w:rsid w:val="288B307D"/>
    <w:rsid w:val="2916F9F6"/>
    <w:rsid w:val="295272CE"/>
    <w:rsid w:val="29662C95"/>
    <w:rsid w:val="29D30E2E"/>
    <w:rsid w:val="2A5043DB"/>
    <w:rsid w:val="2A8CBBC2"/>
    <w:rsid w:val="2AB72343"/>
    <w:rsid w:val="2ABC52C5"/>
    <w:rsid w:val="2AFD2767"/>
    <w:rsid w:val="2B295BCC"/>
    <w:rsid w:val="2B3FE8F2"/>
    <w:rsid w:val="2BB3C95F"/>
    <w:rsid w:val="2BC94BDC"/>
    <w:rsid w:val="2C5AF451"/>
    <w:rsid w:val="2C7BD90B"/>
    <w:rsid w:val="2D254DEF"/>
    <w:rsid w:val="2D310B61"/>
    <w:rsid w:val="2D5909C5"/>
    <w:rsid w:val="2D93862B"/>
    <w:rsid w:val="2DA2C71A"/>
    <w:rsid w:val="2F228B32"/>
    <w:rsid w:val="2FB09093"/>
    <w:rsid w:val="2FB3972B"/>
    <w:rsid w:val="3073A578"/>
    <w:rsid w:val="30883759"/>
    <w:rsid w:val="30F22E33"/>
    <w:rsid w:val="30FA76DC"/>
    <w:rsid w:val="312E9D13"/>
    <w:rsid w:val="31461867"/>
    <w:rsid w:val="3157E71D"/>
    <w:rsid w:val="31916722"/>
    <w:rsid w:val="31D5ACED"/>
    <w:rsid w:val="32575C9F"/>
    <w:rsid w:val="325CA9F0"/>
    <w:rsid w:val="331EFBB5"/>
    <w:rsid w:val="33872251"/>
    <w:rsid w:val="33D22E1F"/>
    <w:rsid w:val="34204776"/>
    <w:rsid w:val="342D8950"/>
    <w:rsid w:val="344C3E6B"/>
    <w:rsid w:val="345AB44D"/>
    <w:rsid w:val="34CB7906"/>
    <w:rsid w:val="34EA8CCF"/>
    <w:rsid w:val="34F95D65"/>
    <w:rsid w:val="3508B19D"/>
    <w:rsid w:val="350A2E63"/>
    <w:rsid w:val="3597238C"/>
    <w:rsid w:val="35D99B17"/>
    <w:rsid w:val="36227312"/>
    <w:rsid w:val="3686386A"/>
    <w:rsid w:val="369E8939"/>
    <w:rsid w:val="36BE78C2"/>
    <w:rsid w:val="36CB5590"/>
    <w:rsid w:val="372E3B7B"/>
    <w:rsid w:val="375BD960"/>
    <w:rsid w:val="375E7205"/>
    <w:rsid w:val="37AB6658"/>
    <w:rsid w:val="37C34ED9"/>
    <w:rsid w:val="37D6828C"/>
    <w:rsid w:val="383A3B0C"/>
    <w:rsid w:val="383A9E2F"/>
    <w:rsid w:val="3850F800"/>
    <w:rsid w:val="38BDD033"/>
    <w:rsid w:val="39402DF5"/>
    <w:rsid w:val="39E17FD9"/>
    <w:rsid w:val="3A91DA0C"/>
    <w:rsid w:val="3AC47909"/>
    <w:rsid w:val="3AE27AF5"/>
    <w:rsid w:val="3BC692A6"/>
    <w:rsid w:val="3BCAED1C"/>
    <w:rsid w:val="3BFE90E3"/>
    <w:rsid w:val="3C4BA4BB"/>
    <w:rsid w:val="3C5150AA"/>
    <w:rsid w:val="3C87BA04"/>
    <w:rsid w:val="3CCA5B33"/>
    <w:rsid w:val="3D2A0F95"/>
    <w:rsid w:val="3D986DDE"/>
    <w:rsid w:val="3DD1D0AF"/>
    <w:rsid w:val="3E5C8608"/>
    <w:rsid w:val="3E83A392"/>
    <w:rsid w:val="3EB2E24E"/>
    <w:rsid w:val="3EE3BC7A"/>
    <w:rsid w:val="3EF42C43"/>
    <w:rsid w:val="3EF69082"/>
    <w:rsid w:val="3F1460EE"/>
    <w:rsid w:val="3F216E0B"/>
    <w:rsid w:val="3F2E1BE5"/>
    <w:rsid w:val="3F7F433D"/>
    <w:rsid w:val="3F89D6CD"/>
    <w:rsid w:val="3FA1EE15"/>
    <w:rsid w:val="3FB76F7B"/>
    <w:rsid w:val="3FE33894"/>
    <w:rsid w:val="3FF14B12"/>
    <w:rsid w:val="4012231D"/>
    <w:rsid w:val="404935AA"/>
    <w:rsid w:val="405F1CE6"/>
    <w:rsid w:val="4080ECCE"/>
    <w:rsid w:val="409EB268"/>
    <w:rsid w:val="40C37361"/>
    <w:rsid w:val="40FE0F04"/>
    <w:rsid w:val="4139D1A2"/>
    <w:rsid w:val="415CBB03"/>
    <w:rsid w:val="421F46DD"/>
    <w:rsid w:val="42D96C54"/>
    <w:rsid w:val="4330F3C0"/>
    <w:rsid w:val="437B618D"/>
    <w:rsid w:val="43C06B98"/>
    <w:rsid w:val="43C7753E"/>
    <w:rsid w:val="4403F534"/>
    <w:rsid w:val="44352321"/>
    <w:rsid w:val="4468F4BF"/>
    <w:rsid w:val="44874D02"/>
    <w:rsid w:val="44FD3B1B"/>
    <w:rsid w:val="453D6113"/>
    <w:rsid w:val="45A72E75"/>
    <w:rsid w:val="45BDE69F"/>
    <w:rsid w:val="45E8CA9C"/>
    <w:rsid w:val="4603CFCD"/>
    <w:rsid w:val="4684766C"/>
    <w:rsid w:val="46A40E75"/>
    <w:rsid w:val="4736493B"/>
    <w:rsid w:val="4755D38A"/>
    <w:rsid w:val="47566AEC"/>
    <w:rsid w:val="47623950"/>
    <w:rsid w:val="47A2583A"/>
    <w:rsid w:val="48166F64"/>
    <w:rsid w:val="48239376"/>
    <w:rsid w:val="482EDCB1"/>
    <w:rsid w:val="48A46539"/>
    <w:rsid w:val="48B19568"/>
    <w:rsid w:val="48DDD9CE"/>
    <w:rsid w:val="48FD6395"/>
    <w:rsid w:val="48FE46AB"/>
    <w:rsid w:val="49877D50"/>
    <w:rsid w:val="49D1256F"/>
    <w:rsid w:val="4A3CD0CE"/>
    <w:rsid w:val="4A5F6A9E"/>
    <w:rsid w:val="4A7E53A6"/>
    <w:rsid w:val="4A928EDF"/>
    <w:rsid w:val="4AC3D71E"/>
    <w:rsid w:val="4AC42DD9"/>
    <w:rsid w:val="4AE917FF"/>
    <w:rsid w:val="4B5639C2"/>
    <w:rsid w:val="4C475959"/>
    <w:rsid w:val="4CA37672"/>
    <w:rsid w:val="4CB4C53F"/>
    <w:rsid w:val="4D0F34CD"/>
    <w:rsid w:val="4D0F54F5"/>
    <w:rsid w:val="4D22953A"/>
    <w:rsid w:val="4D7185B1"/>
    <w:rsid w:val="4E39997B"/>
    <w:rsid w:val="4E44B84C"/>
    <w:rsid w:val="4E6769F9"/>
    <w:rsid w:val="4EB5F6E7"/>
    <w:rsid w:val="4ED7D859"/>
    <w:rsid w:val="4ED960A1"/>
    <w:rsid w:val="4F576523"/>
    <w:rsid w:val="4F77B62B"/>
    <w:rsid w:val="4F8B845E"/>
    <w:rsid w:val="4FB18ED4"/>
    <w:rsid w:val="5063C7EA"/>
    <w:rsid w:val="50D3CF05"/>
    <w:rsid w:val="51B227C7"/>
    <w:rsid w:val="52199479"/>
    <w:rsid w:val="526E002D"/>
    <w:rsid w:val="5296D2E1"/>
    <w:rsid w:val="529EA6D8"/>
    <w:rsid w:val="5317595D"/>
    <w:rsid w:val="53F29ACA"/>
    <w:rsid w:val="54BE76B7"/>
    <w:rsid w:val="553B10AA"/>
    <w:rsid w:val="5542EA2F"/>
    <w:rsid w:val="5599A30F"/>
    <w:rsid w:val="55E57CE4"/>
    <w:rsid w:val="563383FE"/>
    <w:rsid w:val="5735C08A"/>
    <w:rsid w:val="57555877"/>
    <w:rsid w:val="5769ACD3"/>
    <w:rsid w:val="57A4E86F"/>
    <w:rsid w:val="57A72816"/>
    <w:rsid w:val="58093C30"/>
    <w:rsid w:val="585F0C11"/>
    <w:rsid w:val="58D7688E"/>
    <w:rsid w:val="58F2FDA2"/>
    <w:rsid w:val="59380EC2"/>
    <w:rsid w:val="594DCAFC"/>
    <w:rsid w:val="59D84E6B"/>
    <w:rsid w:val="59F5A63C"/>
    <w:rsid w:val="5A2FCE34"/>
    <w:rsid w:val="5A36013A"/>
    <w:rsid w:val="5AC0DFFC"/>
    <w:rsid w:val="5AC8AD5F"/>
    <w:rsid w:val="5B1FE754"/>
    <w:rsid w:val="5B270CF4"/>
    <w:rsid w:val="5B841CC1"/>
    <w:rsid w:val="5BBE8868"/>
    <w:rsid w:val="5C2CB9A6"/>
    <w:rsid w:val="5C5D9072"/>
    <w:rsid w:val="5C638586"/>
    <w:rsid w:val="5D5E29BE"/>
    <w:rsid w:val="5D86110D"/>
    <w:rsid w:val="5DB0AA64"/>
    <w:rsid w:val="5E10E2F7"/>
    <w:rsid w:val="5EE7E677"/>
    <w:rsid w:val="5F057B14"/>
    <w:rsid w:val="5F120A3B"/>
    <w:rsid w:val="5F5108DA"/>
    <w:rsid w:val="5FAC8C94"/>
    <w:rsid w:val="5FD6BFE1"/>
    <w:rsid w:val="608A6DB8"/>
    <w:rsid w:val="60EEA9B5"/>
    <w:rsid w:val="618E1867"/>
    <w:rsid w:val="619CA4C3"/>
    <w:rsid w:val="61C56D4C"/>
    <w:rsid w:val="61F92CF0"/>
    <w:rsid w:val="61FAFBD3"/>
    <w:rsid w:val="62487312"/>
    <w:rsid w:val="624D87BD"/>
    <w:rsid w:val="62C4411E"/>
    <w:rsid w:val="62D02942"/>
    <w:rsid w:val="62D74B86"/>
    <w:rsid w:val="63069106"/>
    <w:rsid w:val="635D361A"/>
    <w:rsid w:val="63738C06"/>
    <w:rsid w:val="6392C0E6"/>
    <w:rsid w:val="642DD9F1"/>
    <w:rsid w:val="646A554E"/>
    <w:rsid w:val="64BD1537"/>
    <w:rsid w:val="64FED415"/>
    <w:rsid w:val="65133208"/>
    <w:rsid w:val="65403C9A"/>
    <w:rsid w:val="656B12FB"/>
    <w:rsid w:val="6577A993"/>
    <w:rsid w:val="658F93AF"/>
    <w:rsid w:val="65E1CB81"/>
    <w:rsid w:val="65FC19A3"/>
    <w:rsid w:val="660BCAC4"/>
    <w:rsid w:val="66246B54"/>
    <w:rsid w:val="66433384"/>
    <w:rsid w:val="6670EC05"/>
    <w:rsid w:val="66AF3B34"/>
    <w:rsid w:val="66B00614"/>
    <w:rsid w:val="66BE8D88"/>
    <w:rsid w:val="66F641FD"/>
    <w:rsid w:val="671F5B4B"/>
    <w:rsid w:val="67AD54B3"/>
    <w:rsid w:val="67F42293"/>
    <w:rsid w:val="68339D2B"/>
    <w:rsid w:val="688DD371"/>
    <w:rsid w:val="69244721"/>
    <w:rsid w:val="6A9BD3DF"/>
    <w:rsid w:val="6AE8E4DC"/>
    <w:rsid w:val="6C9B8BC4"/>
    <w:rsid w:val="6D496E83"/>
    <w:rsid w:val="6DE1F142"/>
    <w:rsid w:val="6DF47883"/>
    <w:rsid w:val="6E9A201E"/>
    <w:rsid w:val="6EB3E465"/>
    <w:rsid w:val="6EF81105"/>
    <w:rsid w:val="6F314F93"/>
    <w:rsid w:val="6F34F9ED"/>
    <w:rsid w:val="6F85496E"/>
    <w:rsid w:val="6F949CBD"/>
    <w:rsid w:val="6FAD15E8"/>
    <w:rsid w:val="70588595"/>
    <w:rsid w:val="70E78DE4"/>
    <w:rsid w:val="715B3217"/>
    <w:rsid w:val="723F3038"/>
    <w:rsid w:val="72754F8D"/>
    <w:rsid w:val="728D665B"/>
    <w:rsid w:val="728E2AA3"/>
    <w:rsid w:val="729781DD"/>
    <w:rsid w:val="731C6083"/>
    <w:rsid w:val="7351C808"/>
    <w:rsid w:val="747C9D5B"/>
    <w:rsid w:val="74A1BDE4"/>
    <w:rsid w:val="751332D6"/>
    <w:rsid w:val="751772B2"/>
    <w:rsid w:val="753EBF27"/>
    <w:rsid w:val="761F520E"/>
    <w:rsid w:val="7699C894"/>
    <w:rsid w:val="76B024FE"/>
    <w:rsid w:val="76BD978B"/>
    <w:rsid w:val="76EF08E0"/>
    <w:rsid w:val="771EA1E1"/>
    <w:rsid w:val="774AF828"/>
    <w:rsid w:val="776784C4"/>
    <w:rsid w:val="77CDC45B"/>
    <w:rsid w:val="7818E329"/>
    <w:rsid w:val="783A5F77"/>
    <w:rsid w:val="7860486B"/>
    <w:rsid w:val="78E1F780"/>
    <w:rsid w:val="7908F274"/>
    <w:rsid w:val="795E8998"/>
    <w:rsid w:val="7991B2CA"/>
    <w:rsid w:val="7999FAF4"/>
    <w:rsid w:val="79E95CBE"/>
    <w:rsid w:val="7A854BA4"/>
    <w:rsid w:val="7B060272"/>
    <w:rsid w:val="7B196C5E"/>
    <w:rsid w:val="7B24FE54"/>
    <w:rsid w:val="7B65F9F9"/>
    <w:rsid w:val="7BAD6047"/>
    <w:rsid w:val="7BCFFADB"/>
    <w:rsid w:val="7BD3F63C"/>
    <w:rsid w:val="7BF92C85"/>
    <w:rsid w:val="7BFD6B69"/>
    <w:rsid w:val="7C438773"/>
    <w:rsid w:val="7C722D3F"/>
    <w:rsid w:val="7CE775A1"/>
    <w:rsid w:val="7CEBC49B"/>
    <w:rsid w:val="7CFB2F4F"/>
    <w:rsid w:val="7D2F7991"/>
    <w:rsid w:val="7D520798"/>
    <w:rsid w:val="7D639B4B"/>
    <w:rsid w:val="7DCE808B"/>
    <w:rsid w:val="7E494DC0"/>
    <w:rsid w:val="7E6E9476"/>
    <w:rsid w:val="7E9B67B7"/>
    <w:rsid w:val="7ED0D9D1"/>
    <w:rsid w:val="7F3E1650"/>
    <w:rsid w:val="7F6A1DA6"/>
    <w:rsid w:val="7F9583F0"/>
    <w:rsid w:val="7FB1F512"/>
    <w:rsid w:val="7FBE5C5A"/>
    <w:rsid w:val="7FC7F31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DECBE"/>
  <w15:chartTrackingRefBased/>
  <w15:docId w15:val="{9DD43F12-3F26-4A40-8CF9-CCEECB9F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qFormat="1"/>
    <w:lsdException w:name="heading 4"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Number" w:semiHidden="1"/>
    <w:lsdException w:name="List 4" w:semiHidden="1" w:unhideWhenUsed="1"/>
    <w:lsdException w:name="List 5" w:semiHidden="1" w:unhideWhenUsed="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7"/>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6"/>
      </w:numPr>
      <w:contextualSpacing/>
    </w:pPr>
  </w:style>
  <w:style w:type="paragraph" w:styleId="List">
    <w:name w:val="List"/>
    <w:basedOn w:val="Normal"/>
    <w:uiPriority w:val="99"/>
    <w:rsid w:val="00F06EE8"/>
    <w:pPr>
      <w:numPr>
        <w:numId w:val="6"/>
      </w:numPr>
      <w:ind w:left="454" w:hanging="454"/>
    </w:pPr>
  </w:style>
  <w:style w:type="paragraph" w:styleId="List2">
    <w:name w:val="List 2"/>
    <w:basedOn w:val="Normal"/>
    <w:uiPriority w:val="99"/>
    <w:rsid w:val="00906EAA"/>
    <w:pPr>
      <w:numPr>
        <w:ilvl w:val="1"/>
        <w:numId w:val="6"/>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4"/>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3"/>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8"/>
      </w:numPr>
      <w:tabs>
        <w:tab w:val="clear" w:pos="643"/>
      </w:tabs>
      <w:contextualSpacing/>
    </w:pPr>
  </w:style>
  <w:style w:type="paragraph" w:styleId="ListBullet">
    <w:name w:val="List Bullet"/>
    <w:basedOn w:val="Normal"/>
    <w:uiPriority w:val="99"/>
    <w:rsid w:val="003B0A38"/>
    <w:pPr>
      <w:numPr>
        <w:numId w:val="7"/>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semiHidden/>
    <w:rsid w:val="00932BB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2BB5"/>
    <w:rPr>
      <w:rFonts w:ascii="Verdana" w:hAnsi="Verdana" w:cs="Arial"/>
      <w:szCs w:val="22"/>
    </w:rPr>
  </w:style>
  <w:style w:type="character" w:styleId="Mention">
    <w:name w:val="Mention"/>
    <w:basedOn w:val="DefaultParagraphFont"/>
    <w:uiPriority w:val="99"/>
    <w:unhideWhenUsed/>
    <w:rsid w:val="0051028C"/>
    <w:rPr>
      <w:color w:val="2B579A"/>
    </w:rPr>
  </w:style>
  <w:style w:type="paragraph" w:styleId="CommentSubject">
    <w:name w:val="annotation subject"/>
    <w:basedOn w:val="CommentText"/>
    <w:next w:val="CommentText"/>
    <w:link w:val="CommentSubjectChar"/>
    <w:uiPriority w:val="99"/>
    <w:semiHidden/>
    <w:rsid w:val="00086950"/>
    <w:rPr>
      <w:b/>
      <w:bCs/>
    </w:rPr>
  </w:style>
  <w:style w:type="character" w:customStyle="1" w:styleId="CommentSubjectChar">
    <w:name w:val="Comment Subject Char"/>
    <w:basedOn w:val="CommentTextChar"/>
    <w:link w:val="CommentSubject"/>
    <w:uiPriority w:val="99"/>
    <w:semiHidden/>
    <w:rsid w:val="00086950"/>
    <w:rPr>
      <w:rFonts w:ascii="Verdana" w:hAnsi="Verdana" w:cs="Arial"/>
      <w:b/>
      <w:bCs/>
    </w:rPr>
  </w:style>
  <w:style w:type="character" w:styleId="Hyperlink">
    <w:name w:val="Hyperlink"/>
    <w:basedOn w:val="DefaultParagraphFont"/>
    <w:uiPriority w:val="99"/>
    <w:unhideWhenUsed/>
    <w:rsid w:val="58D7688E"/>
    <w:rPr>
      <w:color w:val="0000FF"/>
      <w:u w:val="single"/>
    </w:rPr>
  </w:style>
  <w:style w:type="paragraph" w:styleId="Revision">
    <w:name w:val="Revision"/>
    <w:hidden/>
    <w:uiPriority w:val="99"/>
    <w:semiHidden/>
    <w:rsid w:val="003442A7"/>
    <w:rPr>
      <w:rFonts w:ascii="Verdana" w:hAnsi="Verdana" w:cs="Arial"/>
      <w:szCs w:val="22"/>
    </w:rPr>
  </w:style>
  <w:style w:type="paragraph" w:customStyle="1" w:styleId="paragraph">
    <w:name w:val="paragraph"/>
    <w:basedOn w:val="Normal"/>
    <w:rsid w:val="00671576"/>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customStyle="1" w:styleId="normaltextrun">
    <w:name w:val="normaltextrun"/>
    <w:basedOn w:val="DefaultParagraphFont"/>
    <w:rsid w:val="00671576"/>
  </w:style>
  <w:style w:type="character" w:customStyle="1" w:styleId="eop">
    <w:name w:val="eop"/>
    <w:basedOn w:val="DefaultParagraphFont"/>
    <w:rsid w:val="00671576"/>
  </w:style>
  <w:style w:type="character" w:customStyle="1" w:styleId="findhit">
    <w:name w:val="findhit"/>
    <w:basedOn w:val="DefaultParagraphFont"/>
    <w:rsid w:val="00671576"/>
  </w:style>
  <w:style w:type="character" w:styleId="UnresolvedMention">
    <w:name w:val="Unresolved Mention"/>
    <w:basedOn w:val="DefaultParagraphFont"/>
    <w:uiPriority w:val="99"/>
    <w:semiHidden/>
    <w:unhideWhenUsed/>
    <w:rsid w:val="004E2685"/>
    <w:rPr>
      <w:color w:val="605E5C"/>
      <w:shd w:val="clear" w:color="auto" w:fill="E1DFDD"/>
    </w:rPr>
  </w:style>
  <w:style w:type="character" w:customStyle="1" w:styleId="scxw34368559">
    <w:name w:val="scxw34368559"/>
    <w:basedOn w:val="DefaultParagraphFont"/>
    <w:rsid w:val="00094E29"/>
  </w:style>
  <w:style w:type="paragraph" w:customStyle="1" w:styleId="pf0">
    <w:name w:val="pf0"/>
    <w:basedOn w:val="Normal"/>
    <w:rsid w:val="00E93EEA"/>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customStyle="1" w:styleId="cf01">
    <w:name w:val="cf01"/>
    <w:basedOn w:val="DefaultParagraphFont"/>
    <w:rsid w:val="00E93EEA"/>
    <w:rPr>
      <w:rFonts w:ascii="Segoe UI" w:hAnsi="Segoe UI" w:cs="Segoe UI" w:hint="default"/>
      <w:sz w:val="18"/>
      <w:szCs w:val="18"/>
      <w:shd w:val="clear" w:color="auto" w:fill="FFFFFF"/>
    </w:rPr>
  </w:style>
  <w:style w:type="character" w:customStyle="1" w:styleId="cf11">
    <w:name w:val="cf11"/>
    <w:basedOn w:val="DefaultParagraphFont"/>
    <w:rsid w:val="007A4F2E"/>
    <w:rPr>
      <w:rFonts w:ascii="Segoe UI" w:hAnsi="Segoe UI" w:cs="Segoe UI" w:hint="default"/>
      <w:sz w:val="18"/>
      <w:szCs w:val="18"/>
      <w:shd w:val="clear" w:color="auto" w:fill="FFFFFF"/>
    </w:rPr>
  </w:style>
  <w:style w:type="character" w:styleId="FollowedHyperlink">
    <w:name w:val="FollowedHyperlink"/>
    <w:basedOn w:val="DefaultParagraphFont"/>
    <w:uiPriority w:val="99"/>
    <w:semiHidden/>
    <w:rsid w:val="00AB7C0E"/>
    <w:rPr>
      <w:color w:val="800080" w:themeColor="followedHyperlink"/>
      <w:u w:val="single"/>
    </w:rPr>
  </w:style>
  <w:style w:type="table" w:styleId="GridTable4-Accent5">
    <w:name w:val="Grid Table 4 Accent 5"/>
    <w:basedOn w:val="TableNormal"/>
    <w:uiPriority w:val="49"/>
    <w:rsid w:val="00BF2FE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A1650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381623">
      <w:bodyDiv w:val="1"/>
      <w:marLeft w:val="0"/>
      <w:marRight w:val="0"/>
      <w:marTop w:val="0"/>
      <w:marBottom w:val="0"/>
      <w:divBdr>
        <w:top w:val="none" w:sz="0" w:space="0" w:color="auto"/>
        <w:left w:val="none" w:sz="0" w:space="0" w:color="auto"/>
        <w:bottom w:val="none" w:sz="0" w:space="0" w:color="auto"/>
        <w:right w:val="none" w:sz="0" w:space="0" w:color="auto"/>
      </w:divBdr>
    </w:div>
    <w:div w:id="754134360">
      <w:bodyDiv w:val="1"/>
      <w:marLeft w:val="0"/>
      <w:marRight w:val="0"/>
      <w:marTop w:val="0"/>
      <w:marBottom w:val="0"/>
      <w:divBdr>
        <w:top w:val="none" w:sz="0" w:space="0" w:color="auto"/>
        <w:left w:val="none" w:sz="0" w:space="0" w:color="auto"/>
        <w:bottom w:val="none" w:sz="0" w:space="0" w:color="auto"/>
        <w:right w:val="none" w:sz="0" w:space="0" w:color="auto"/>
      </w:divBdr>
      <w:divsChild>
        <w:div w:id="205486782">
          <w:marLeft w:val="0"/>
          <w:marRight w:val="0"/>
          <w:marTop w:val="0"/>
          <w:marBottom w:val="0"/>
          <w:divBdr>
            <w:top w:val="none" w:sz="0" w:space="0" w:color="auto"/>
            <w:left w:val="none" w:sz="0" w:space="0" w:color="auto"/>
            <w:bottom w:val="none" w:sz="0" w:space="0" w:color="auto"/>
            <w:right w:val="none" w:sz="0" w:space="0" w:color="auto"/>
          </w:divBdr>
        </w:div>
        <w:div w:id="908924086">
          <w:marLeft w:val="0"/>
          <w:marRight w:val="0"/>
          <w:marTop w:val="0"/>
          <w:marBottom w:val="0"/>
          <w:divBdr>
            <w:top w:val="none" w:sz="0" w:space="0" w:color="auto"/>
            <w:left w:val="none" w:sz="0" w:space="0" w:color="auto"/>
            <w:bottom w:val="none" w:sz="0" w:space="0" w:color="auto"/>
            <w:right w:val="none" w:sz="0" w:space="0" w:color="auto"/>
          </w:divBdr>
        </w:div>
        <w:div w:id="1394965112">
          <w:marLeft w:val="0"/>
          <w:marRight w:val="0"/>
          <w:marTop w:val="0"/>
          <w:marBottom w:val="0"/>
          <w:divBdr>
            <w:top w:val="none" w:sz="0" w:space="0" w:color="auto"/>
            <w:left w:val="none" w:sz="0" w:space="0" w:color="auto"/>
            <w:bottom w:val="none" w:sz="0" w:space="0" w:color="auto"/>
            <w:right w:val="none" w:sz="0" w:space="0" w:color="auto"/>
          </w:divBdr>
        </w:div>
        <w:div w:id="1793670510">
          <w:marLeft w:val="0"/>
          <w:marRight w:val="0"/>
          <w:marTop w:val="0"/>
          <w:marBottom w:val="0"/>
          <w:divBdr>
            <w:top w:val="none" w:sz="0" w:space="0" w:color="auto"/>
            <w:left w:val="none" w:sz="0" w:space="0" w:color="auto"/>
            <w:bottom w:val="none" w:sz="0" w:space="0" w:color="auto"/>
            <w:right w:val="none" w:sz="0" w:space="0" w:color="auto"/>
          </w:divBdr>
        </w:div>
        <w:div w:id="1948582069">
          <w:marLeft w:val="0"/>
          <w:marRight w:val="0"/>
          <w:marTop w:val="0"/>
          <w:marBottom w:val="0"/>
          <w:divBdr>
            <w:top w:val="none" w:sz="0" w:space="0" w:color="auto"/>
            <w:left w:val="none" w:sz="0" w:space="0" w:color="auto"/>
            <w:bottom w:val="none" w:sz="0" w:space="0" w:color="auto"/>
            <w:right w:val="none" w:sz="0" w:space="0" w:color="auto"/>
          </w:divBdr>
        </w:div>
      </w:divsChild>
    </w:div>
    <w:div w:id="980038921">
      <w:bodyDiv w:val="1"/>
      <w:marLeft w:val="0"/>
      <w:marRight w:val="0"/>
      <w:marTop w:val="0"/>
      <w:marBottom w:val="0"/>
      <w:divBdr>
        <w:top w:val="none" w:sz="0" w:space="0" w:color="auto"/>
        <w:left w:val="none" w:sz="0" w:space="0" w:color="auto"/>
        <w:bottom w:val="none" w:sz="0" w:space="0" w:color="auto"/>
        <w:right w:val="none" w:sz="0" w:space="0" w:color="auto"/>
      </w:divBdr>
    </w:div>
    <w:div w:id="984092739">
      <w:bodyDiv w:val="1"/>
      <w:marLeft w:val="0"/>
      <w:marRight w:val="0"/>
      <w:marTop w:val="0"/>
      <w:marBottom w:val="0"/>
      <w:divBdr>
        <w:top w:val="none" w:sz="0" w:space="0" w:color="auto"/>
        <w:left w:val="none" w:sz="0" w:space="0" w:color="auto"/>
        <w:bottom w:val="none" w:sz="0" w:space="0" w:color="auto"/>
        <w:right w:val="none" w:sz="0" w:space="0" w:color="auto"/>
      </w:divBdr>
    </w:div>
    <w:div w:id="985817391">
      <w:bodyDiv w:val="1"/>
      <w:marLeft w:val="0"/>
      <w:marRight w:val="0"/>
      <w:marTop w:val="0"/>
      <w:marBottom w:val="0"/>
      <w:divBdr>
        <w:top w:val="none" w:sz="0" w:space="0" w:color="auto"/>
        <w:left w:val="none" w:sz="0" w:space="0" w:color="auto"/>
        <w:bottom w:val="none" w:sz="0" w:space="0" w:color="auto"/>
        <w:right w:val="none" w:sz="0" w:space="0" w:color="auto"/>
      </w:divBdr>
      <w:divsChild>
        <w:div w:id="238682650">
          <w:marLeft w:val="0"/>
          <w:marRight w:val="0"/>
          <w:marTop w:val="0"/>
          <w:marBottom w:val="0"/>
          <w:divBdr>
            <w:top w:val="none" w:sz="0" w:space="0" w:color="auto"/>
            <w:left w:val="none" w:sz="0" w:space="0" w:color="auto"/>
            <w:bottom w:val="none" w:sz="0" w:space="0" w:color="auto"/>
            <w:right w:val="none" w:sz="0" w:space="0" w:color="auto"/>
          </w:divBdr>
        </w:div>
        <w:div w:id="480537566">
          <w:marLeft w:val="0"/>
          <w:marRight w:val="0"/>
          <w:marTop w:val="0"/>
          <w:marBottom w:val="0"/>
          <w:divBdr>
            <w:top w:val="none" w:sz="0" w:space="0" w:color="auto"/>
            <w:left w:val="none" w:sz="0" w:space="0" w:color="auto"/>
            <w:bottom w:val="none" w:sz="0" w:space="0" w:color="auto"/>
            <w:right w:val="none" w:sz="0" w:space="0" w:color="auto"/>
          </w:divBdr>
        </w:div>
        <w:div w:id="1281761012">
          <w:marLeft w:val="0"/>
          <w:marRight w:val="0"/>
          <w:marTop w:val="0"/>
          <w:marBottom w:val="0"/>
          <w:divBdr>
            <w:top w:val="none" w:sz="0" w:space="0" w:color="auto"/>
            <w:left w:val="none" w:sz="0" w:space="0" w:color="auto"/>
            <w:bottom w:val="none" w:sz="0" w:space="0" w:color="auto"/>
            <w:right w:val="none" w:sz="0" w:space="0" w:color="auto"/>
          </w:divBdr>
        </w:div>
        <w:div w:id="1657218377">
          <w:marLeft w:val="0"/>
          <w:marRight w:val="0"/>
          <w:marTop w:val="0"/>
          <w:marBottom w:val="0"/>
          <w:divBdr>
            <w:top w:val="none" w:sz="0" w:space="0" w:color="auto"/>
            <w:left w:val="none" w:sz="0" w:space="0" w:color="auto"/>
            <w:bottom w:val="none" w:sz="0" w:space="0" w:color="auto"/>
            <w:right w:val="none" w:sz="0" w:space="0" w:color="auto"/>
          </w:divBdr>
        </w:div>
        <w:div w:id="1695033077">
          <w:marLeft w:val="0"/>
          <w:marRight w:val="0"/>
          <w:marTop w:val="0"/>
          <w:marBottom w:val="0"/>
          <w:divBdr>
            <w:top w:val="none" w:sz="0" w:space="0" w:color="auto"/>
            <w:left w:val="none" w:sz="0" w:space="0" w:color="auto"/>
            <w:bottom w:val="none" w:sz="0" w:space="0" w:color="auto"/>
            <w:right w:val="none" w:sz="0" w:space="0" w:color="auto"/>
          </w:divBdr>
        </w:div>
        <w:div w:id="2067994331">
          <w:marLeft w:val="0"/>
          <w:marRight w:val="0"/>
          <w:marTop w:val="0"/>
          <w:marBottom w:val="0"/>
          <w:divBdr>
            <w:top w:val="none" w:sz="0" w:space="0" w:color="auto"/>
            <w:left w:val="none" w:sz="0" w:space="0" w:color="auto"/>
            <w:bottom w:val="none" w:sz="0" w:space="0" w:color="auto"/>
            <w:right w:val="none" w:sz="0" w:space="0" w:color="auto"/>
          </w:divBdr>
        </w:div>
      </w:divsChild>
    </w:div>
    <w:div w:id="1038747405">
      <w:bodyDiv w:val="1"/>
      <w:marLeft w:val="0"/>
      <w:marRight w:val="0"/>
      <w:marTop w:val="0"/>
      <w:marBottom w:val="0"/>
      <w:divBdr>
        <w:top w:val="none" w:sz="0" w:space="0" w:color="auto"/>
        <w:left w:val="none" w:sz="0" w:space="0" w:color="auto"/>
        <w:bottom w:val="none" w:sz="0" w:space="0" w:color="auto"/>
        <w:right w:val="none" w:sz="0" w:space="0" w:color="auto"/>
      </w:divBdr>
      <w:divsChild>
        <w:div w:id="317924345">
          <w:marLeft w:val="0"/>
          <w:marRight w:val="0"/>
          <w:marTop w:val="0"/>
          <w:marBottom w:val="0"/>
          <w:divBdr>
            <w:top w:val="none" w:sz="0" w:space="0" w:color="auto"/>
            <w:left w:val="none" w:sz="0" w:space="0" w:color="auto"/>
            <w:bottom w:val="none" w:sz="0" w:space="0" w:color="auto"/>
            <w:right w:val="none" w:sz="0" w:space="0" w:color="auto"/>
          </w:divBdr>
        </w:div>
        <w:div w:id="565381435">
          <w:marLeft w:val="0"/>
          <w:marRight w:val="0"/>
          <w:marTop w:val="0"/>
          <w:marBottom w:val="0"/>
          <w:divBdr>
            <w:top w:val="none" w:sz="0" w:space="0" w:color="auto"/>
            <w:left w:val="none" w:sz="0" w:space="0" w:color="auto"/>
            <w:bottom w:val="none" w:sz="0" w:space="0" w:color="auto"/>
            <w:right w:val="none" w:sz="0" w:space="0" w:color="auto"/>
          </w:divBdr>
        </w:div>
        <w:div w:id="571159287">
          <w:marLeft w:val="0"/>
          <w:marRight w:val="0"/>
          <w:marTop w:val="0"/>
          <w:marBottom w:val="0"/>
          <w:divBdr>
            <w:top w:val="none" w:sz="0" w:space="0" w:color="auto"/>
            <w:left w:val="none" w:sz="0" w:space="0" w:color="auto"/>
            <w:bottom w:val="none" w:sz="0" w:space="0" w:color="auto"/>
            <w:right w:val="none" w:sz="0" w:space="0" w:color="auto"/>
          </w:divBdr>
        </w:div>
        <w:div w:id="912278873">
          <w:marLeft w:val="0"/>
          <w:marRight w:val="0"/>
          <w:marTop w:val="0"/>
          <w:marBottom w:val="0"/>
          <w:divBdr>
            <w:top w:val="none" w:sz="0" w:space="0" w:color="auto"/>
            <w:left w:val="none" w:sz="0" w:space="0" w:color="auto"/>
            <w:bottom w:val="none" w:sz="0" w:space="0" w:color="auto"/>
            <w:right w:val="none" w:sz="0" w:space="0" w:color="auto"/>
          </w:divBdr>
        </w:div>
        <w:div w:id="1176115270">
          <w:marLeft w:val="0"/>
          <w:marRight w:val="0"/>
          <w:marTop w:val="0"/>
          <w:marBottom w:val="0"/>
          <w:divBdr>
            <w:top w:val="none" w:sz="0" w:space="0" w:color="auto"/>
            <w:left w:val="none" w:sz="0" w:space="0" w:color="auto"/>
            <w:bottom w:val="none" w:sz="0" w:space="0" w:color="auto"/>
            <w:right w:val="none" w:sz="0" w:space="0" w:color="auto"/>
          </w:divBdr>
        </w:div>
      </w:divsChild>
    </w:div>
    <w:div w:id="1490556473">
      <w:bodyDiv w:val="1"/>
      <w:marLeft w:val="0"/>
      <w:marRight w:val="0"/>
      <w:marTop w:val="0"/>
      <w:marBottom w:val="0"/>
      <w:divBdr>
        <w:top w:val="none" w:sz="0" w:space="0" w:color="auto"/>
        <w:left w:val="none" w:sz="0" w:space="0" w:color="auto"/>
        <w:bottom w:val="none" w:sz="0" w:space="0" w:color="auto"/>
        <w:right w:val="none" w:sz="0" w:space="0" w:color="auto"/>
      </w:divBdr>
      <w:divsChild>
        <w:div w:id="97457734">
          <w:marLeft w:val="0"/>
          <w:marRight w:val="0"/>
          <w:marTop w:val="0"/>
          <w:marBottom w:val="0"/>
          <w:divBdr>
            <w:top w:val="none" w:sz="0" w:space="0" w:color="auto"/>
            <w:left w:val="none" w:sz="0" w:space="0" w:color="auto"/>
            <w:bottom w:val="none" w:sz="0" w:space="0" w:color="auto"/>
            <w:right w:val="none" w:sz="0" w:space="0" w:color="auto"/>
          </w:divBdr>
        </w:div>
        <w:div w:id="122160591">
          <w:marLeft w:val="0"/>
          <w:marRight w:val="0"/>
          <w:marTop w:val="0"/>
          <w:marBottom w:val="0"/>
          <w:divBdr>
            <w:top w:val="none" w:sz="0" w:space="0" w:color="auto"/>
            <w:left w:val="none" w:sz="0" w:space="0" w:color="auto"/>
            <w:bottom w:val="none" w:sz="0" w:space="0" w:color="auto"/>
            <w:right w:val="none" w:sz="0" w:space="0" w:color="auto"/>
          </w:divBdr>
        </w:div>
      </w:divsChild>
    </w:div>
    <w:div w:id="1655064671">
      <w:bodyDiv w:val="1"/>
      <w:marLeft w:val="0"/>
      <w:marRight w:val="0"/>
      <w:marTop w:val="0"/>
      <w:marBottom w:val="0"/>
      <w:divBdr>
        <w:top w:val="none" w:sz="0" w:space="0" w:color="auto"/>
        <w:left w:val="none" w:sz="0" w:space="0" w:color="auto"/>
        <w:bottom w:val="none" w:sz="0" w:space="0" w:color="auto"/>
        <w:right w:val="none" w:sz="0" w:space="0" w:color="auto"/>
      </w:divBdr>
      <w:divsChild>
        <w:div w:id="64382013">
          <w:marLeft w:val="0"/>
          <w:marRight w:val="0"/>
          <w:marTop w:val="0"/>
          <w:marBottom w:val="0"/>
          <w:divBdr>
            <w:top w:val="none" w:sz="0" w:space="0" w:color="auto"/>
            <w:left w:val="none" w:sz="0" w:space="0" w:color="auto"/>
            <w:bottom w:val="none" w:sz="0" w:space="0" w:color="auto"/>
            <w:right w:val="none" w:sz="0" w:space="0" w:color="auto"/>
          </w:divBdr>
        </w:div>
        <w:div w:id="665744411">
          <w:marLeft w:val="0"/>
          <w:marRight w:val="0"/>
          <w:marTop w:val="0"/>
          <w:marBottom w:val="0"/>
          <w:divBdr>
            <w:top w:val="none" w:sz="0" w:space="0" w:color="auto"/>
            <w:left w:val="none" w:sz="0" w:space="0" w:color="auto"/>
            <w:bottom w:val="none" w:sz="0" w:space="0" w:color="auto"/>
            <w:right w:val="none" w:sz="0" w:space="0" w:color="auto"/>
          </w:divBdr>
        </w:div>
        <w:div w:id="1538817459">
          <w:marLeft w:val="0"/>
          <w:marRight w:val="0"/>
          <w:marTop w:val="0"/>
          <w:marBottom w:val="0"/>
          <w:divBdr>
            <w:top w:val="none" w:sz="0" w:space="0" w:color="auto"/>
            <w:left w:val="none" w:sz="0" w:space="0" w:color="auto"/>
            <w:bottom w:val="none" w:sz="0" w:space="0" w:color="auto"/>
            <w:right w:val="none" w:sz="0" w:space="0" w:color="auto"/>
          </w:divBdr>
        </w:div>
      </w:divsChild>
    </w:div>
    <w:div w:id="1814060592">
      <w:bodyDiv w:val="1"/>
      <w:marLeft w:val="0"/>
      <w:marRight w:val="0"/>
      <w:marTop w:val="0"/>
      <w:marBottom w:val="0"/>
      <w:divBdr>
        <w:top w:val="none" w:sz="0" w:space="0" w:color="auto"/>
        <w:left w:val="none" w:sz="0" w:space="0" w:color="auto"/>
        <w:bottom w:val="none" w:sz="0" w:space="0" w:color="auto"/>
        <w:right w:val="none" w:sz="0" w:space="0" w:color="auto"/>
      </w:divBdr>
    </w:div>
    <w:div w:id="2035115170">
      <w:bodyDiv w:val="1"/>
      <w:marLeft w:val="0"/>
      <w:marRight w:val="0"/>
      <w:marTop w:val="0"/>
      <w:marBottom w:val="0"/>
      <w:divBdr>
        <w:top w:val="none" w:sz="0" w:space="0" w:color="auto"/>
        <w:left w:val="none" w:sz="0" w:space="0" w:color="auto"/>
        <w:bottom w:val="none" w:sz="0" w:space="0" w:color="auto"/>
        <w:right w:val="none" w:sz="0" w:space="0" w:color="auto"/>
      </w:divBdr>
      <w:divsChild>
        <w:div w:id="218173507">
          <w:marLeft w:val="0"/>
          <w:marRight w:val="0"/>
          <w:marTop w:val="0"/>
          <w:marBottom w:val="0"/>
          <w:divBdr>
            <w:top w:val="none" w:sz="0" w:space="0" w:color="auto"/>
            <w:left w:val="none" w:sz="0" w:space="0" w:color="auto"/>
            <w:bottom w:val="none" w:sz="0" w:space="0" w:color="auto"/>
            <w:right w:val="none" w:sz="0" w:space="0" w:color="auto"/>
          </w:divBdr>
        </w:div>
        <w:div w:id="299068745">
          <w:marLeft w:val="0"/>
          <w:marRight w:val="0"/>
          <w:marTop w:val="0"/>
          <w:marBottom w:val="0"/>
          <w:divBdr>
            <w:top w:val="none" w:sz="0" w:space="0" w:color="auto"/>
            <w:left w:val="none" w:sz="0" w:space="0" w:color="auto"/>
            <w:bottom w:val="none" w:sz="0" w:space="0" w:color="auto"/>
            <w:right w:val="none" w:sz="0" w:space="0" w:color="auto"/>
          </w:divBdr>
        </w:div>
        <w:div w:id="848637564">
          <w:marLeft w:val="0"/>
          <w:marRight w:val="0"/>
          <w:marTop w:val="0"/>
          <w:marBottom w:val="0"/>
          <w:divBdr>
            <w:top w:val="none" w:sz="0" w:space="0" w:color="auto"/>
            <w:left w:val="none" w:sz="0" w:space="0" w:color="auto"/>
            <w:bottom w:val="none" w:sz="0" w:space="0" w:color="auto"/>
            <w:right w:val="none" w:sz="0" w:space="0" w:color="auto"/>
          </w:divBdr>
        </w:div>
        <w:div w:id="887302133">
          <w:marLeft w:val="0"/>
          <w:marRight w:val="0"/>
          <w:marTop w:val="0"/>
          <w:marBottom w:val="0"/>
          <w:divBdr>
            <w:top w:val="none" w:sz="0" w:space="0" w:color="auto"/>
            <w:left w:val="none" w:sz="0" w:space="0" w:color="auto"/>
            <w:bottom w:val="none" w:sz="0" w:space="0" w:color="auto"/>
            <w:right w:val="none" w:sz="0" w:space="0" w:color="auto"/>
          </w:divBdr>
        </w:div>
        <w:div w:id="1397168850">
          <w:marLeft w:val="0"/>
          <w:marRight w:val="0"/>
          <w:marTop w:val="0"/>
          <w:marBottom w:val="0"/>
          <w:divBdr>
            <w:top w:val="none" w:sz="0" w:space="0" w:color="auto"/>
            <w:left w:val="none" w:sz="0" w:space="0" w:color="auto"/>
            <w:bottom w:val="none" w:sz="0" w:space="0" w:color="auto"/>
            <w:right w:val="none" w:sz="0" w:space="0" w:color="auto"/>
          </w:divBdr>
        </w:div>
        <w:div w:id="1775513353">
          <w:marLeft w:val="0"/>
          <w:marRight w:val="0"/>
          <w:marTop w:val="0"/>
          <w:marBottom w:val="0"/>
          <w:divBdr>
            <w:top w:val="none" w:sz="0" w:space="0" w:color="auto"/>
            <w:left w:val="none" w:sz="0" w:space="0" w:color="auto"/>
            <w:bottom w:val="none" w:sz="0" w:space="0" w:color="auto"/>
            <w:right w:val="none" w:sz="0" w:space="0" w:color="auto"/>
          </w:divBdr>
        </w:div>
        <w:div w:id="1793013720">
          <w:marLeft w:val="0"/>
          <w:marRight w:val="0"/>
          <w:marTop w:val="0"/>
          <w:marBottom w:val="0"/>
          <w:divBdr>
            <w:top w:val="none" w:sz="0" w:space="0" w:color="auto"/>
            <w:left w:val="none" w:sz="0" w:space="0" w:color="auto"/>
            <w:bottom w:val="none" w:sz="0" w:space="0" w:color="auto"/>
            <w:right w:val="none" w:sz="0" w:space="0" w:color="auto"/>
          </w:divBdr>
        </w:div>
      </w:divsChild>
    </w:div>
    <w:div w:id="2118981458">
      <w:bodyDiv w:val="1"/>
      <w:marLeft w:val="0"/>
      <w:marRight w:val="0"/>
      <w:marTop w:val="0"/>
      <w:marBottom w:val="0"/>
      <w:divBdr>
        <w:top w:val="none" w:sz="0" w:space="0" w:color="auto"/>
        <w:left w:val="none" w:sz="0" w:space="0" w:color="auto"/>
        <w:bottom w:val="none" w:sz="0" w:space="0" w:color="auto"/>
        <w:right w:val="none" w:sz="0" w:space="0" w:color="auto"/>
      </w:divBdr>
    </w:div>
    <w:div w:id="2143576743">
      <w:bodyDiv w:val="1"/>
      <w:marLeft w:val="0"/>
      <w:marRight w:val="0"/>
      <w:marTop w:val="0"/>
      <w:marBottom w:val="0"/>
      <w:divBdr>
        <w:top w:val="none" w:sz="0" w:space="0" w:color="auto"/>
        <w:left w:val="none" w:sz="0" w:space="0" w:color="auto"/>
        <w:bottom w:val="none" w:sz="0" w:space="0" w:color="auto"/>
        <w:right w:val="none" w:sz="0" w:space="0" w:color="auto"/>
      </w:divBdr>
      <w:divsChild>
        <w:div w:id="112330797">
          <w:marLeft w:val="0"/>
          <w:marRight w:val="0"/>
          <w:marTop w:val="0"/>
          <w:marBottom w:val="0"/>
          <w:divBdr>
            <w:top w:val="none" w:sz="0" w:space="0" w:color="auto"/>
            <w:left w:val="none" w:sz="0" w:space="0" w:color="auto"/>
            <w:bottom w:val="none" w:sz="0" w:space="0" w:color="auto"/>
            <w:right w:val="none" w:sz="0" w:space="0" w:color="auto"/>
          </w:divBdr>
        </w:div>
        <w:div w:id="1092896306">
          <w:marLeft w:val="0"/>
          <w:marRight w:val="0"/>
          <w:marTop w:val="0"/>
          <w:marBottom w:val="0"/>
          <w:divBdr>
            <w:top w:val="none" w:sz="0" w:space="0" w:color="auto"/>
            <w:left w:val="none" w:sz="0" w:space="0" w:color="auto"/>
            <w:bottom w:val="none" w:sz="0" w:space="0" w:color="auto"/>
            <w:right w:val="none" w:sz="0" w:space="0" w:color="auto"/>
          </w:divBdr>
        </w:div>
        <w:div w:id="1511480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ew.officeapps.live.com/op/view.aspx?src=https%3A%2F%2Fwww.disabilitysupport.govt.nz%2Fassets%2FProviders%2FGPT-Overview-for-Providers-A3.pptx&amp;wdOrigin=BROWSELIN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disabilitysupport.govt.nz/about-us/taskforce/independent-review/recommendation-2-rapid-review-of-pricing-for-residential-care/provider-engage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isabilitysupport.govt.nz/providers/opportunitie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isabilitysupport.govt.nz/about-us/taskforce/independent-review/recommendation-2-rapid-review-of-pricing-for-residential-care/factsheet-funding-freeze-on-residential-care-lifted-on-1-july-2025" TargetMode="Externa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isabilitysupport.govt.nz/about-us/taskforce/independent-review/recommendation-2-rapid-review-of-pricing-for-residential-care/factsheet-community-group-home-pricing-mode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01718345484946A03102F44121B52A" ma:contentTypeVersion="15" ma:contentTypeDescription="Create a new document." ma:contentTypeScope="" ma:versionID="b324bbabdc956ddb7a8b0ee1550ecd93">
  <xsd:schema xmlns:xsd="http://www.w3.org/2001/XMLSchema" xmlns:xs="http://www.w3.org/2001/XMLSchema" xmlns:p="http://schemas.microsoft.com/office/2006/metadata/properties" xmlns:ns1="http://schemas.microsoft.com/sharepoint/v3" xmlns:ns2="aed45a74-31c9-4715-a377-56897b6cfcef" xmlns:ns3="e9b6d559-bb22-4e22-baf6-bfd707bfba85" xmlns:ns4="24a4208d-6389-4ccf-93db-5bf6e7a6ca4d" targetNamespace="http://schemas.microsoft.com/office/2006/metadata/properties" ma:root="true" ma:fieldsID="43d74f5c4bc94ebca94591da603b1fdc" ns1:_="" ns2:_="" ns3:_="" ns4:_="">
    <xsd:import namespace="http://schemas.microsoft.com/sharepoint/v3"/>
    <xsd:import namespace="aed45a74-31c9-4715-a377-56897b6cfcef"/>
    <xsd:import namespace="e9b6d559-bb22-4e22-baf6-bfd707bfba85"/>
    <xsd:import namespace="24a4208d-6389-4ccf-93db-5bf6e7a6ca4d"/>
    <xsd:element name="properties">
      <xsd:complexType>
        <xsd:sequence>
          <xsd:element name="documentManagement">
            <xsd:complexType>
              <xsd:all>
                <xsd:element ref="ns2:_dlc_DocId" minOccurs="0"/>
                <xsd:element ref="ns2:_dlc_DocIdUrl" minOccurs="0"/>
                <xsd:element ref="ns2:_dlc_DocIdPersistId" minOccurs="0"/>
                <xsd:element ref="ns1:_ip_UnifiedCompliancePolicyProperties" minOccurs="0"/>
                <xsd:element ref="ns1:_ip_UnifiedCompliancePolicyUIAction"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d45a74-31c9-4715-a377-56897b6cfc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b6d559-bb22-4e22-baf6-bfd707bfba8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a4208d-6389-4ccf-93db-5bf6e7a6ca4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e7faeb-3acd-48b1-8016-764ff3e99473}" ma:internalName="TaxCatchAll" ma:showField="CatchAllData" ma:web="aed45a74-31c9-4715-a377-56897b6cfc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9b6d559-bb22-4e22-baf6-bfd707bfba85">
      <Terms xmlns="http://schemas.microsoft.com/office/infopath/2007/PartnerControls"/>
    </lcf76f155ced4ddcb4097134ff3c332f>
    <_dlc_DocId xmlns="aed45a74-31c9-4715-a377-56897b6cfcef">INFO-202352379-6258</_dlc_DocId>
    <_dlc_DocIdUrl xmlns="aed45a74-31c9-4715-a377-56897b6cfcef">
      <Url>https://msdgovtnz.sharepoint.com/sites/WRK-DSS-Commissioning/_layouts/15/DocIdRedir.aspx?ID=INFO-202352379-6258</Url>
      <Description>INFO-202352379-6258</Description>
    </_dlc_DocIdUrl>
    <TaxCatchAll xmlns="24a4208d-6389-4ccf-93db-5bf6e7a6ca4d"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2.xml><?xml version="1.0" encoding="utf-8"?>
<ds:datastoreItem xmlns:ds="http://schemas.openxmlformats.org/officeDocument/2006/customXml" ds:itemID="{747A147E-F01C-41C3-A3F8-9E81F6ABA298}">
  <ds:schemaRefs>
    <ds:schemaRef ds:uri="http://schemas.microsoft.com/sharepoint/v3/contenttype/forms"/>
  </ds:schemaRefs>
</ds:datastoreItem>
</file>

<file path=customXml/itemProps3.xml><?xml version="1.0" encoding="utf-8"?>
<ds:datastoreItem xmlns:ds="http://schemas.openxmlformats.org/officeDocument/2006/customXml" ds:itemID="{290AF976-370E-4418-B3B3-A74E9F0A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d45a74-31c9-4715-a377-56897b6cfcef"/>
    <ds:schemaRef ds:uri="e9b6d559-bb22-4e22-baf6-bfd707bfba85"/>
    <ds:schemaRef ds:uri="24a4208d-6389-4ccf-93db-5bf6e7a6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D7CC5D-2D1A-4B5B-A485-355B2861C5C2}">
  <ds:schemaRefs>
    <ds:schemaRef ds:uri="24a4208d-6389-4ccf-93db-5bf6e7a6ca4d"/>
    <ds:schemaRef ds:uri="e9b6d559-bb22-4e22-baf6-bfd707bfba85"/>
    <ds:schemaRef ds:uri="http://purl.org/dc/terms/"/>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aed45a74-31c9-4715-a377-56897b6cfcef"/>
    <ds:schemaRef ds:uri="http://www.w3.org/XML/1998/namespace"/>
    <ds:schemaRef ds:uri="http://purl.org/dc/dcmitype/"/>
  </ds:schemaRefs>
</ds:datastoreItem>
</file>

<file path=customXml/itemProps5.xml><?xml version="1.0" encoding="utf-8"?>
<ds:datastoreItem xmlns:ds="http://schemas.openxmlformats.org/officeDocument/2006/customXml" ds:itemID="{50E8E52A-0FFA-43A0-AB8F-65692A6C52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2929</Words>
  <Characters>16698</Characters>
  <Application>Microsoft Office Word</Application>
  <DocSecurity>0</DocSecurity>
  <Lines>139</Lines>
  <Paragraphs>39</Paragraphs>
  <ScaleCrop>false</ScaleCrop>
  <Company/>
  <LinksUpToDate>false</LinksUpToDate>
  <CharactersWithSpaces>19588</CharactersWithSpaces>
  <SharedDoc>false</SharedDoc>
  <HLinks>
    <vt:vector size="30" baseType="variant">
      <vt:variant>
        <vt:i4>1245192</vt:i4>
      </vt:variant>
      <vt:variant>
        <vt:i4>12</vt:i4>
      </vt:variant>
      <vt:variant>
        <vt:i4>0</vt:i4>
      </vt:variant>
      <vt:variant>
        <vt:i4>5</vt:i4>
      </vt:variant>
      <vt:variant>
        <vt:lpwstr>https://www.disabilitysupport.govt.nz/providers/opportunities</vt:lpwstr>
      </vt:variant>
      <vt:variant>
        <vt:lpwstr/>
      </vt:variant>
      <vt:variant>
        <vt:i4>5898247</vt:i4>
      </vt:variant>
      <vt:variant>
        <vt:i4>9</vt:i4>
      </vt:variant>
      <vt:variant>
        <vt:i4>0</vt:i4>
      </vt:variant>
      <vt:variant>
        <vt:i4>5</vt:i4>
      </vt:variant>
      <vt:variant>
        <vt:lpwstr>https://www.disabilitysupport.govt.nz/about-us/taskforce/independent-review/recommendation-2-rapid-review-of-pricing-for-residential-care/factsheet-funding-freeze-on-residential-care-lifted-on-1-july-2025</vt:lpwstr>
      </vt:variant>
      <vt:variant>
        <vt:lpwstr/>
      </vt:variant>
      <vt:variant>
        <vt:i4>3735664</vt:i4>
      </vt:variant>
      <vt:variant>
        <vt:i4>6</vt:i4>
      </vt:variant>
      <vt:variant>
        <vt:i4>0</vt:i4>
      </vt:variant>
      <vt:variant>
        <vt:i4>5</vt:i4>
      </vt:variant>
      <vt:variant>
        <vt:lpwstr>https://www.disabilitysupport.govt.nz/about-us/taskforce/independent-review/recommendation-2-rapid-review-of-pricing-for-residential-care/factsheet-community-group-home-pricing-model</vt:lpwstr>
      </vt:variant>
      <vt:variant>
        <vt:lpwstr/>
      </vt:variant>
      <vt:variant>
        <vt:i4>3932213</vt:i4>
      </vt:variant>
      <vt:variant>
        <vt:i4>3</vt:i4>
      </vt:variant>
      <vt:variant>
        <vt:i4>0</vt:i4>
      </vt:variant>
      <vt:variant>
        <vt:i4>5</vt:i4>
      </vt:variant>
      <vt:variant>
        <vt:lpwstr>https://view.officeapps.live.com/op/view.aspx?src=https%3A%2F%2Fwww.disabilitysupport.govt.nz%2Fassets%2FProviders%2FGPT-Overview-for-Providers-A3.pptx&amp;wdOrigin=BROWSELINK</vt:lpwstr>
      </vt:variant>
      <vt:variant>
        <vt:lpwstr/>
      </vt:variant>
      <vt:variant>
        <vt:i4>2031685</vt:i4>
      </vt:variant>
      <vt:variant>
        <vt:i4>0</vt:i4>
      </vt:variant>
      <vt:variant>
        <vt:i4>0</vt:i4>
      </vt:variant>
      <vt:variant>
        <vt:i4>5</vt:i4>
      </vt:variant>
      <vt:variant>
        <vt:lpwstr>https://www.disabilitysupport.govt.nz/about-us/taskforce/independent-review/recommendation-2-rapid-review-of-pricing-for-residential-care/provider-engagement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Potter</dc:creator>
  <cp:keywords/>
  <dc:description/>
  <cp:lastModifiedBy>Joanna McLeod</cp:lastModifiedBy>
  <cp:revision>2</cp:revision>
  <dcterms:created xsi:type="dcterms:W3CDTF">2025-07-09T02:18:00Z</dcterms:created>
  <dcterms:modified xsi:type="dcterms:W3CDTF">2025-07-09T02:18:00Z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33b0ba93,663fda09,7027d4de</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2025-06-06T01:16:25Z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4f2f3572-c8eb-42ca-85cb-30ceedbf73f2</vt:lpwstr>
  </property>
  <property fmtid="{D5CDD505-2E9C-101B-9397-08002B2CF9AE}" pid="11" name="MSIP_Label_f43e46a9-9901-46e9-bfae-bb6189d4cb66_ContentBits">
    <vt:lpwstr>1</vt:lpwstr>
  </property>
  <property fmtid="{D5CDD505-2E9C-101B-9397-08002B2CF9AE}" pid="12" name="ContentTypeId">
    <vt:lpwstr>0x0101001E01718345484946A03102F44121B52A</vt:lpwstr>
  </property>
  <property fmtid="{D5CDD505-2E9C-101B-9397-08002B2CF9AE}" pid="13" name="_dlc_DocIdItemGuid">
    <vt:lpwstr>480e3429-12ef-4903-b01b-67505de92430</vt:lpwstr>
  </property>
  <property fmtid="{D5CDD505-2E9C-101B-9397-08002B2CF9AE}" pid="14" name="MediaServiceImageTags">
    <vt:lpwstr/>
  </property>
  <property fmtid="{D5CDD505-2E9C-101B-9397-08002B2CF9AE}" pid="15" name="abe53b9722184f3a80529765dd5eb953">
    <vt:lpwstr/>
  </property>
  <property fmtid="{D5CDD505-2E9C-101B-9397-08002B2CF9AE}" pid="16" name="ObjectiveFolderPath">
    <vt:lpwstr/>
  </property>
  <property fmtid="{D5CDD505-2E9C-101B-9397-08002B2CF9AE}" pid="17" name="Topic">
    <vt:lpwstr/>
  </property>
  <property fmtid="{D5CDD505-2E9C-101B-9397-08002B2CF9AE}" pid="18" name="m9723a55395648e4be2eca5940cd18ad">
    <vt:lpwstr/>
  </property>
  <property fmtid="{D5CDD505-2E9C-101B-9397-08002B2CF9AE}" pid="19" name="b1b07801cc1f48bc97eb71b42ffad3e3">
    <vt:lpwstr/>
  </property>
  <property fmtid="{D5CDD505-2E9C-101B-9397-08002B2CF9AE}" pid="20" name="BCS">
    <vt:lpwstr/>
  </property>
  <property fmtid="{D5CDD505-2E9C-101B-9397-08002B2CF9AE}" pid="21" name="DocumentType">
    <vt:lpwstr/>
  </property>
  <property fmtid="{D5CDD505-2E9C-101B-9397-08002B2CF9AE}" pid="22" name="n3e7d51dc9ed4717829e532813330b6f">
    <vt:lpwstr/>
  </property>
</Properties>
</file>