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3879F" w14:textId="23AD0B91" w:rsidR="007A04C9" w:rsidRPr="006419D3" w:rsidRDefault="009A20A0" w:rsidP="006419D3">
      <w:pPr>
        <w:pStyle w:val="Heading1"/>
      </w:pPr>
      <w:bookmarkStart w:id="0" w:name="_Hlk176956812"/>
      <w:r w:rsidRPr="006419D3">
        <w:t>Fact</w:t>
      </w:r>
      <w:r w:rsidR="00E31A99">
        <w:t xml:space="preserve"> </w:t>
      </w:r>
      <w:r w:rsidRPr="006419D3">
        <w:t>sheet</w:t>
      </w:r>
      <w:r w:rsidR="007A04C9" w:rsidRPr="006419D3">
        <w:t xml:space="preserve"> </w:t>
      </w:r>
    </w:p>
    <w:bookmarkEnd w:id="0"/>
    <w:p w14:paraId="133D99E9" w14:textId="1F62D251" w:rsidR="00B819B5" w:rsidRPr="00E31A99" w:rsidRDefault="00E31A99" w:rsidP="002C25D2">
      <w:pPr>
        <w:pStyle w:val="Heading2-spaceafter"/>
        <w:rPr>
          <w:sz w:val="56"/>
          <w:szCs w:val="36"/>
        </w:rPr>
      </w:pPr>
      <w:r w:rsidRPr="00E31A99">
        <w:rPr>
          <w:sz w:val="56"/>
          <w:szCs w:val="36"/>
        </w:rPr>
        <w:t>NASC and EGL site budgets</w:t>
      </w:r>
    </w:p>
    <w:p w14:paraId="310160BA" w14:textId="0D55B9B0" w:rsidR="008E17CD" w:rsidRPr="00E31A99" w:rsidRDefault="00E31A99" w:rsidP="002C25D2">
      <w:pPr>
        <w:pStyle w:val="Heading2-spaceafter"/>
        <w:rPr>
          <w:sz w:val="36"/>
          <w:szCs w:val="20"/>
        </w:rPr>
      </w:pPr>
      <w:r w:rsidRPr="00E31A99">
        <w:rPr>
          <w:sz w:val="36"/>
          <w:szCs w:val="20"/>
        </w:rPr>
        <w:t>2025/26 Financial Year</w:t>
      </w:r>
    </w:p>
    <w:p w14:paraId="677BF1C8" w14:textId="5B177AA4" w:rsidR="002C25D2" w:rsidRPr="00E31A99" w:rsidRDefault="002C25D2" w:rsidP="008E17CD">
      <w:r>
        <w:br/>
      </w:r>
      <w:r w:rsidR="00F66E9E" w:rsidRPr="00E31A99">
        <w:rPr>
          <w:sz w:val="32"/>
          <w:szCs w:val="28"/>
        </w:rPr>
        <w:t>May</w:t>
      </w:r>
      <w:r w:rsidRPr="00E31A99">
        <w:rPr>
          <w:sz w:val="32"/>
          <w:szCs w:val="28"/>
        </w:rPr>
        <w:t xml:space="preserve"> 2025</w:t>
      </w:r>
    </w:p>
    <w:p w14:paraId="1C0E6FDB" w14:textId="77777777" w:rsidR="00D0234C" w:rsidRPr="00E45BB3" w:rsidRDefault="00D0234C" w:rsidP="008E17CD">
      <w:pPr>
        <w:rPr>
          <w:b/>
          <w:bCs/>
        </w:rPr>
      </w:pPr>
    </w:p>
    <w:p w14:paraId="15B37C3D" w14:textId="77777777" w:rsidR="00E31A99" w:rsidRPr="00AD3B65" w:rsidRDefault="00E31A99" w:rsidP="00E31A99">
      <w:pPr>
        <w:rPr>
          <w:sz w:val="28"/>
          <w:szCs w:val="28"/>
        </w:rPr>
      </w:pPr>
      <w:r w:rsidRPr="00AD3B65">
        <w:rPr>
          <w:sz w:val="28"/>
          <w:szCs w:val="28"/>
        </w:rPr>
        <w:t xml:space="preserve">The 2024 </w:t>
      </w:r>
      <w:hyperlink r:id="rId8" w:history="1">
        <w:r w:rsidRPr="00AD3B65">
          <w:rPr>
            <w:rStyle w:val="Hyperlink"/>
            <w:sz w:val="28"/>
            <w:szCs w:val="28"/>
          </w:rPr>
          <w:t>Independent Review</w:t>
        </w:r>
      </w:hyperlink>
      <w:r w:rsidRPr="00AD3B65">
        <w:rPr>
          <w:sz w:val="28"/>
          <w:szCs w:val="28"/>
        </w:rPr>
        <w:t xml:space="preserve"> of DSS recommended that indicative budgets for NASCs and fixed budgets for EGL sites be reinstated in August 2024.</w:t>
      </w:r>
    </w:p>
    <w:p w14:paraId="21B1FEFD" w14:textId="77777777" w:rsidR="00E31A99" w:rsidRDefault="00E31A99" w:rsidP="00E31A99">
      <w:r>
        <w:t>DSS implemented a Budget Performance Management Framework (BPMF) in January 2025 to support NASCs to remain within their budgets.</w:t>
      </w:r>
    </w:p>
    <w:p w14:paraId="448FE6AF" w14:textId="77777777" w:rsidR="00E31A99" w:rsidRDefault="00E31A99" w:rsidP="00E31A99">
      <w:r>
        <w:t>The BPMF provided a consistent approach to evaluating each NASC’s performance against budgets using quantitative and qualitative measures that are underpinned by the BPMF principles.</w:t>
      </w:r>
    </w:p>
    <w:p w14:paraId="5F9198F2" w14:textId="77777777" w:rsidR="00E31A99" w:rsidRDefault="00E31A99" w:rsidP="00E31A99">
      <w:pPr>
        <w:pStyle w:val="Heading2"/>
      </w:pPr>
      <w:r>
        <w:t>Budget approach</w:t>
      </w:r>
    </w:p>
    <w:p w14:paraId="178E29B3" w14:textId="77777777" w:rsidR="008D695D" w:rsidRDefault="008D695D" w:rsidP="008D695D">
      <w:r>
        <w:t xml:space="preserve">This year DSS received additional funding of </w:t>
      </w:r>
      <w:r w:rsidRPr="00FC4014">
        <w:t>$</w:t>
      </w:r>
      <w:r>
        <w:t>1B in Budget 2025 to support the delivery of disability services in the financial year 2025/26. This includes disability services delivered nationally.</w:t>
      </w:r>
    </w:p>
    <w:p w14:paraId="43E27518" w14:textId="77777777" w:rsidR="008D695D" w:rsidRDefault="008D695D" w:rsidP="008D695D">
      <w:r>
        <w:t>The approach used to generate NASC and EGL site budgets (a portion of DSS funding) is:</w:t>
      </w:r>
    </w:p>
    <w:p w14:paraId="61B2F4FB" w14:textId="77777777" w:rsidR="008D695D" w:rsidRPr="00D772EB" w:rsidRDefault="008D695D" w:rsidP="008D695D">
      <w:pPr>
        <w:pStyle w:val="ListParagraph"/>
        <w:numPr>
          <w:ilvl w:val="0"/>
          <w:numId w:val="26"/>
        </w:numPr>
        <w:suppressAutoHyphens/>
        <w:autoSpaceDE w:val="0"/>
        <w:autoSpaceDN w:val="0"/>
        <w:adjustRightInd w:val="0"/>
        <w:spacing w:before="120" w:line="288" w:lineRule="auto"/>
        <w:textAlignment w:val="center"/>
      </w:pPr>
      <w:r>
        <w:t>d</w:t>
      </w:r>
      <w:r w:rsidRPr="00D772EB">
        <w:t xml:space="preserve">etermine the total 2025/26 NASC/EGL </w:t>
      </w:r>
      <w:r>
        <w:t>f</w:t>
      </w:r>
      <w:r w:rsidRPr="00D772EB">
        <w:t xml:space="preserve">unding </w:t>
      </w:r>
      <w:r>
        <w:t>p</w:t>
      </w:r>
      <w:r w:rsidRPr="00D772EB">
        <w:t>ool</w:t>
      </w:r>
    </w:p>
    <w:p w14:paraId="296D242A" w14:textId="77777777" w:rsidR="008D695D" w:rsidRPr="00D772EB" w:rsidRDefault="008D695D" w:rsidP="008D695D">
      <w:pPr>
        <w:pStyle w:val="ListParagraph"/>
        <w:numPr>
          <w:ilvl w:val="0"/>
          <w:numId w:val="26"/>
        </w:numPr>
        <w:suppressAutoHyphens/>
        <w:autoSpaceDE w:val="0"/>
        <w:autoSpaceDN w:val="0"/>
        <w:adjustRightInd w:val="0"/>
        <w:spacing w:before="120" w:line="288" w:lineRule="auto"/>
        <w:textAlignment w:val="center"/>
      </w:pPr>
      <w:r>
        <w:t>e</w:t>
      </w:r>
      <w:r w:rsidRPr="00D772EB">
        <w:t>stablish the baseline budget for each NASC</w:t>
      </w:r>
      <w:r>
        <w:t xml:space="preserve"> and EGL site</w:t>
      </w:r>
      <w:r w:rsidRPr="00D772EB">
        <w:t xml:space="preserve"> based on the previous year’s budget plus some critical adjustments</w:t>
      </w:r>
    </w:p>
    <w:p w14:paraId="5B113713" w14:textId="77777777" w:rsidR="008D695D" w:rsidRDefault="008D695D" w:rsidP="008D695D">
      <w:pPr>
        <w:pStyle w:val="ListParagraph"/>
        <w:numPr>
          <w:ilvl w:val="0"/>
          <w:numId w:val="26"/>
        </w:numPr>
        <w:suppressAutoHyphens/>
        <w:autoSpaceDE w:val="0"/>
        <w:autoSpaceDN w:val="0"/>
        <w:adjustRightInd w:val="0"/>
        <w:spacing w:before="120" w:line="288" w:lineRule="auto"/>
        <w:textAlignment w:val="center"/>
      </w:pPr>
      <w:r>
        <w:t>a</w:t>
      </w:r>
      <w:r w:rsidRPr="00D772EB">
        <w:t>llocat</w:t>
      </w:r>
      <w:r>
        <w:t>e</w:t>
      </w:r>
      <w:r w:rsidRPr="00D772EB">
        <w:t xml:space="preserve"> the remaining funding available to NASCs</w:t>
      </w:r>
      <w:r>
        <w:t xml:space="preserve"> and EGL sites</w:t>
      </w:r>
      <w:r w:rsidRPr="00D772EB">
        <w:t xml:space="preserve"> as a growth pool in proportion to their baseline.</w:t>
      </w:r>
    </w:p>
    <w:p w14:paraId="3E7AA93F" w14:textId="77777777" w:rsidR="008D695D" w:rsidRDefault="008D695D" w:rsidP="008D695D">
      <w:r>
        <w:t>To calculate the funding pool for NASC/EGL sites, nationally funded expenses were subtracted as along with funds held aside for the new Community Group Home pricing model.</w:t>
      </w:r>
    </w:p>
    <w:p w14:paraId="02BBAB75" w14:textId="77777777" w:rsidR="008D695D" w:rsidRDefault="008D695D" w:rsidP="008D695D">
      <w:r>
        <w:t>The baseline budget was calculated from NASC and EGL site 2024/25 budgets, with the following adjustments.</w:t>
      </w:r>
    </w:p>
    <w:p w14:paraId="1BAB48F0" w14:textId="77777777" w:rsidR="00E31A99" w:rsidRDefault="00E31A99" w:rsidP="00E31A99">
      <w:pPr>
        <w:pStyle w:val="ListParagraph"/>
        <w:numPr>
          <w:ilvl w:val="0"/>
          <w:numId w:val="20"/>
        </w:numPr>
        <w:suppressAutoHyphens/>
        <w:autoSpaceDE w:val="0"/>
        <w:autoSpaceDN w:val="0"/>
        <w:adjustRightInd w:val="0"/>
        <w:spacing w:before="120" w:line="288" w:lineRule="auto"/>
        <w:ind w:left="714" w:hanging="357"/>
        <w:contextualSpacing w:val="0"/>
        <w:textAlignment w:val="center"/>
      </w:pPr>
      <w:r>
        <w:rPr>
          <w:b/>
          <w:bCs/>
        </w:rPr>
        <w:t>O</w:t>
      </w:r>
      <w:r w:rsidRPr="005917B6">
        <w:rPr>
          <w:b/>
          <w:bCs/>
        </w:rPr>
        <w:t>ut-of-area residential allocations</w:t>
      </w:r>
      <w:r>
        <w:t xml:space="preserve"> – costs will transfer to the ‘receiving NASC’ from the ‘sending NASC’.</w:t>
      </w:r>
    </w:p>
    <w:p w14:paraId="1519D3B7" w14:textId="77777777" w:rsidR="00E31A99" w:rsidRDefault="00E31A99" w:rsidP="00E31A99">
      <w:pPr>
        <w:pStyle w:val="ListParagraph"/>
        <w:numPr>
          <w:ilvl w:val="0"/>
          <w:numId w:val="20"/>
        </w:numPr>
        <w:suppressAutoHyphens/>
        <w:autoSpaceDE w:val="0"/>
        <w:autoSpaceDN w:val="0"/>
        <w:adjustRightInd w:val="0"/>
        <w:spacing w:before="120" w:line="288" w:lineRule="auto"/>
        <w:ind w:left="714" w:hanging="357"/>
        <w:contextualSpacing w:val="0"/>
        <w:textAlignment w:val="center"/>
      </w:pPr>
      <w:r w:rsidRPr="005917B6">
        <w:rPr>
          <w:b/>
          <w:bCs/>
        </w:rPr>
        <w:t>Exceptional Circumstances funding</w:t>
      </w:r>
      <w:r w:rsidRPr="00B24692">
        <w:t xml:space="preserve"> – will be added to the baseline</w:t>
      </w:r>
      <w:r>
        <w:t>.</w:t>
      </w:r>
    </w:p>
    <w:p w14:paraId="35931D86" w14:textId="59D17405" w:rsidR="005011C3" w:rsidRPr="005917B6" w:rsidRDefault="005011C3" w:rsidP="00E31A99">
      <w:pPr>
        <w:pStyle w:val="ListParagraph"/>
        <w:numPr>
          <w:ilvl w:val="0"/>
          <w:numId w:val="20"/>
        </w:numPr>
        <w:suppressAutoHyphens/>
        <w:autoSpaceDE w:val="0"/>
        <w:autoSpaceDN w:val="0"/>
        <w:adjustRightInd w:val="0"/>
        <w:spacing w:before="120" w:line="288" w:lineRule="auto"/>
        <w:ind w:left="714" w:hanging="357"/>
        <w:contextualSpacing w:val="0"/>
        <w:textAlignment w:val="center"/>
      </w:pPr>
      <w:r>
        <w:rPr>
          <w:rStyle w:val="normaltextrun"/>
          <w:b/>
          <w:bCs/>
          <w:color w:val="000000"/>
          <w:shd w:val="clear" w:color="auto" w:fill="FFFFFF"/>
        </w:rPr>
        <w:t>Oranga Tamariki</w:t>
      </w:r>
      <w:r>
        <w:rPr>
          <w:rStyle w:val="normaltextrun"/>
          <w:color w:val="000000"/>
          <w:shd w:val="clear" w:color="auto" w:fill="FFFFFF"/>
        </w:rPr>
        <w:t xml:space="preserve"> – where a disabled young person in the care of OT is turning 18 during the 2025/26 financial year, the estimated increased cost of their care at their birthday is added to the relevant NASC/EGL site budget </w:t>
      </w:r>
      <w:r>
        <w:rPr>
          <w:rStyle w:val="normaltextrun"/>
          <w:rFonts w:ascii="Verdana" w:hAnsi="Verdana"/>
          <w:color w:val="000000"/>
          <w:szCs w:val="22"/>
          <w:shd w:val="clear" w:color="auto" w:fill="FFFFFF"/>
        </w:rPr>
        <w:t>approach. </w:t>
      </w:r>
      <w:r>
        <w:rPr>
          <w:rStyle w:val="eop"/>
          <w:color w:val="000000"/>
          <w:szCs w:val="22"/>
          <w:shd w:val="clear" w:color="auto" w:fill="FFFFFF"/>
        </w:rPr>
        <w:t> </w:t>
      </w:r>
    </w:p>
    <w:p w14:paraId="5C6F7E37" w14:textId="77777777" w:rsidR="0071459C" w:rsidRPr="005917B6" w:rsidRDefault="0071459C" w:rsidP="005011C3">
      <w:r w:rsidRPr="005917B6">
        <w:t>The growth pool is calculated by subtracting the</w:t>
      </w:r>
      <w:r w:rsidRPr="00B24692">
        <w:t xml:space="preserve"> adjusted baseline from the funding pool and will be allocated to NASCs and EGL site</w:t>
      </w:r>
      <w:r>
        <w:t>s</w:t>
      </w:r>
      <w:r w:rsidRPr="00B24692">
        <w:t xml:space="preserve"> based on the proportion of the baseline allocated.</w:t>
      </w:r>
    </w:p>
    <w:p w14:paraId="2242F6A3" w14:textId="4C57DF05" w:rsidR="00D0234C" w:rsidRDefault="00D0234C" w:rsidP="00D0234C">
      <w:r>
        <w:br w:type="page"/>
      </w:r>
    </w:p>
    <w:p w14:paraId="43A674B3" w14:textId="77777777" w:rsidR="005B4F3C" w:rsidRDefault="005B4F3C">
      <w:pPr>
        <w:spacing w:after="0" w:line="240" w:lineRule="auto"/>
        <w:sectPr w:rsidR="005B4F3C" w:rsidSect="005B4F3C">
          <w:headerReference w:type="even" r:id="rId9"/>
          <w:headerReference w:type="default" r:id="rId10"/>
          <w:headerReference w:type="first" r:id="rId11"/>
          <w:footerReference w:type="first" r:id="rId12"/>
          <w:pgSz w:w="11906" w:h="16838"/>
          <w:pgMar w:top="851" w:right="851" w:bottom="1814" w:left="851" w:header="709" w:footer="465" w:gutter="0"/>
          <w:cols w:space="708"/>
          <w:titlePg/>
          <w:docGrid w:linePitch="360"/>
        </w:sectPr>
      </w:pPr>
    </w:p>
    <w:p w14:paraId="48593A04" w14:textId="77777777" w:rsidR="00E31A99" w:rsidRDefault="00E31A99" w:rsidP="00E31A99">
      <w:pPr>
        <w:pStyle w:val="Heading2"/>
      </w:pPr>
      <w:r>
        <w:lastRenderedPageBreak/>
        <w:t>NASC and EGL site budgets</w:t>
      </w:r>
    </w:p>
    <w:p w14:paraId="60C26D5E" w14:textId="47C16680" w:rsidR="00E31A99" w:rsidRDefault="00E31A99" w:rsidP="00E31A99">
      <w:r>
        <w:t>NASCs and EGL sites will continue to manage within their overall budget. They must ensure future funding decisions are managed within the BPMF.</w:t>
      </w:r>
    </w:p>
    <w:p w14:paraId="1DEA8F22" w14:textId="77777777" w:rsidR="00E31A99" w:rsidRDefault="00E31A99" w:rsidP="00E31A99">
      <w:r>
        <w:t>EGL sites must ensure funding decisions do not negatively impact the management of budgets.</w:t>
      </w:r>
    </w:p>
    <w:p w14:paraId="4A81D8FA" w14:textId="40C71C60" w:rsidR="00E31A99" w:rsidRDefault="00E31A99" w:rsidP="00E31A99">
      <w:pPr>
        <w:rPr>
          <w:rStyle w:val="normaltextrun"/>
          <w:rFonts w:cs="Segoe UI"/>
          <w:szCs w:val="22"/>
        </w:rPr>
      </w:pPr>
      <w:r w:rsidRPr="5ADB2C53">
        <w:rPr>
          <w:rStyle w:val="normaltextrun"/>
          <w:color w:val="000000" w:themeColor="text1"/>
        </w:rPr>
        <w:t>The monthly reporting and monitoring of NASC budgets will continue.</w:t>
      </w:r>
      <w:r w:rsidR="008D695D">
        <w:rPr>
          <w:rStyle w:val="normaltextrun"/>
          <w:color w:val="000000" w:themeColor="text1"/>
        </w:rPr>
        <w:t xml:space="preserve"> </w:t>
      </w:r>
      <w:r>
        <w:rPr>
          <w:rStyle w:val="normaltextrun"/>
          <w:color w:val="000000" w:themeColor="text1"/>
        </w:rPr>
        <w:t>The Review Panel will continue.</w:t>
      </w:r>
    </w:p>
    <w:p w14:paraId="726DCF8D" w14:textId="77777777" w:rsidR="00E31A99" w:rsidRDefault="00E31A99" w:rsidP="00E31A99">
      <w:pPr>
        <w:pStyle w:val="Heading2"/>
      </w:pPr>
      <w:r>
        <w:t>Funding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31A99" w:rsidRPr="00FC334C" w14:paraId="55D3C15F" w14:textId="77777777" w:rsidTr="005F2E43">
        <w:tc>
          <w:tcPr>
            <w:tcW w:w="4530" w:type="dxa"/>
          </w:tcPr>
          <w:p w14:paraId="79C0412A" w14:textId="77777777" w:rsidR="00E31A99" w:rsidRPr="00FC334C" w:rsidRDefault="00E31A99" w:rsidP="005F2E43">
            <w:pPr>
              <w:pStyle w:val="Pa6"/>
              <w:spacing w:before="20" w:after="20" w:line="276" w:lineRule="auto"/>
              <w:rPr>
                <w:rStyle w:val="A5"/>
                <w:b/>
                <w:bCs/>
                <w:sz w:val="20"/>
                <w:szCs w:val="20"/>
              </w:rPr>
            </w:pPr>
            <w:r>
              <w:rPr>
                <w:rStyle w:val="A5"/>
                <w:b/>
                <w:bCs/>
                <w:sz w:val="20"/>
                <w:szCs w:val="20"/>
              </w:rPr>
              <w:t>F</w:t>
            </w:r>
            <w:r w:rsidRPr="00FC334C">
              <w:rPr>
                <w:rStyle w:val="A5"/>
                <w:b/>
                <w:bCs/>
                <w:sz w:val="20"/>
                <w:szCs w:val="20"/>
              </w:rPr>
              <w:t>unded by NASC and EGL sites (via CCPS)</w:t>
            </w:r>
          </w:p>
        </w:tc>
        <w:tc>
          <w:tcPr>
            <w:tcW w:w="4530" w:type="dxa"/>
          </w:tcPr>
          <w:p w14:paraId="5F90ECA8" w14:textId="77777777" w:rsidR="00E31A99" w:rsidRPr="00FC334C" w:rsidRDefault="00E31A99" w:rsidP="005F2E43">
            <w:pPr>
              <w:pStyle w:val="Pa6"/>
              <w:spacing w:before="20" w:after="20" w:line="276" w:lineRule="auto"/>
              <w:rPr>
                <w:rStyle w:val="A5"/>
                <w:b/>
                <w:bCs/>
                <w:sz w:val="20"/>
                <w:szCs w:val="20"/>
              </w:rPr>
            </w:pPr>
            <w:r>
              <w:rPr>
                <w:rStyle w:val="A5"/>
                <w:b/>
                <w:bCs/>
                <w:sz w:val="20"/>
                <w:szCs w:val="20"/>
              </w:rPr>
              <w:t>F</w:t>
            </w:r>
            <w:r w:rsidRPr="00FC334C">
              <w:rPr>
                <w:rStyle w:val="A5"/>
                <w:b/>
                <w:bCs/>
                <w:sz w:val="20"/>
                <w:szCs w:val="20"/>
              </w:rPr>
              <w:t>unded nationally (by DSS)</w:t>
            </w:r>
          </w:p>
        </w:tc>
      </w:tr>
      <w:tr w:rsidR="00E31A99" w:rsidRPr="00300A4B" w14:paraId="4364FDE7" w14:textId="77777777" w:rsidTr="005F2E43">
        <w:tc>
          <w:tcPr>
            <w:tcW w:w="4530" w:type="dxa"/>
          </w:tcPr>
          <w:p w14:paraId="37AE3945" w14:textId="77777777" w:rsidR="00E31A99" w:rsidRPr="00300A4B" w:rsidRDefault="00E31A99" w:rsidP="005F2E43">
            <w:pPr>
              <w:pStyle w:val="Pa6"/>
              <w:spacing w:before="20" w:after="20" w:line="240" w:lineRule="auto"/>
              <w:rPr>
                <w:rStyle w:val="A5"/>
                <w:i/>
                <w:iCs/>
                <w:sz w:val="18"/>
                <w:szCs w:val="18"/>
              </w:rPr>
            </w:pPr>
            <w:r w:rsidRPr="00300A4B">
              <w:rPr>
                <w:rStyle w:val="A5"/>
                <w:i/>
                <w:iCs/>
                <w:sz w:val="18"/>
                <w:szCs w:val="18"/>
              </w:rPr>
              <w:t>These supports will be reflected against NASC and EGL site budgets</w:t>
            </w:r>
          </w:p>
        </w:tc>
        <w:tc>
          <w:tcPr>
            <w:tcW w:w="4530" w:type="dxa"/>
          </w:tcPr>
          <w:p w14:paraId="31D7EB27" w14:textId="77777777" w:rsidR="00E31A99" w:rsidRPr="00300A4B" w:rsidRDefault="00E31A99" w:rsidP="005F2E43">
            <w:pPr>
              <w:pStyle w:val="Pa6"/>
              <w:spacing w:before="20" w:after="20" w:line="240" w:lineRule="auto"/>
              <w:rPr>
                <w:rStyle w:val="A5"/>
                <w:i/>
                <w:iCs/>
                <w:sz w:val="18"/>
                <w:szCs w:val="18"/>
              </w:rPr>
            </w:pPr>
            <w:r w:rsidRPr="00300A4B">
              <w:rPr>
                <w:rStyle w:val="A5"/>
                <w:i/>
                <w:iCs/>
                <w:sz w:val="18"/>
                <w:szCs w:val="18"/>
              </w:rPr>
              <w:t>These supports will not be reflected against NASC and EGL site budgets</w:t>
            </w:r>
          </w:p>
        </w:tc>
      </w:tr>
      <w:tr w:rsidR="00E31A99" w:rsidRPr="00300A4B" w14:paraId="21F89ECC" w14:textId="77777777" w:rsidTr="005F2E43">
        <w:tc>
          <w:tcPr>
            <w:tcW w:w="4530" w:type="dxa"/>
          </w:tcPr>
          <w:p w14:paraId="146D4C61" w14:textId="77777777" w:rsidR="00E31A99" w:rsidRPr="00300A4B" w:rsidRDefault="00E31A99" w:rsidP="005F2E43">
            <w:pPr>
              <w:pStyle w:val="Default"/>
              <w:spacing w:after="50"/>
              <w:rPr>
                <w:rStyle w:val="A5"/>
                <w:b/>
                <w:sz w:val="18"/>
                <w:szCs w:val="18"/>
              </w:rPr>
            </w:pPr>
            <w:r w:rsidRPr="00300A4B">
              <w:rPr>
                <w:rStyle w:val="A5"/>
                <w:b/>
                <w:sz w:val="18"/>
                <w:szCs w:val="18"/>
              </w:rPr>
              <w:t>Facility-based</w:t>
            </w:r>
          </w:p>
          <w:p w14:paraId="4017E753" w14:textId="77777777" w:rsidR="00E31A99" w:rsidRPr="00300A4B" w:rsidRDefault="00E31A99" w:rsidP="00E31A99">
            <w:pPr>
              <w:pStyle w:val="Default"/>
              <w:numPr>
                <w:ilvl w:val="0"/>
                <w:numId w:val="25"/>
              </w:numPr>
              <w:ind w:left="316" w:hanging="257"/>
              <w:rPr>
                <w:rStyle w:val="A5"/>
                <w:bCs/>
                <w:sz w:val="18"/>
                <w:szCs w:val="18"/>
              </w:rPr>
            </w:pPr>
            <w:r>
              <w:rPr>
                <w:rStyle w:val="A5"/>
                <w:bCs/>
                <w:sz w:val="18"/>
                <w:szCs w:val="18"/>
              </w:rPr>
              <w:t>C</w:t>
            </w:r>
            <w:r w:rsidRPr="00300A4B">
              <w:rPr>
                <w:rStyle w:val="A5"/>
                <w:bCs/>
                <w:sz w:val="18"/>
                <w:szCs w:val="18"/>
              </w:rPr>
              <w:t xml:space="preserve">ommunity </w:t>
            </w:r>
            <w:r>
              <w:rPr>
                <w:rStyle w:val="A5"/>
                <w:bCs/>
                <w:sz w:val="18"/>
                <w:szCs w:val="18"/>
              </w:rPr>
              <w:t>r</w:t>
            </w:r>
            <w:r w:rsidRPr="00300A4B">
              <w:rPr>
                <w:rStyle w:val="A5"/>
                <w:bCs/>
                <w:sz w:val="18"/>
                <w:szCs w:val="18"/>
              </w:rPr>
              <w:t xml:space="preserve">esidential </w:t>
            </w:r>
            <w:r>
              <w:rPr>
                <w:rStyle w:val="A5"/>
                <w:bCs/>
                <w:sz w:val="18"/>
                <w:szCs w:val="18"/>
              </w:rPr>
              <w:t>c</w:t>
            </w:r>
            <w:r w:rsidRPr="00300A4B">
              <w:rPr>
                <w:rStyle w:val="A5"/>
                <w:bCs/>
                <w:sz w:val="18"/>
                <w:szCs w:val="18"/>
              </w:rPr>
              <w:t>are</w:t>
            </w:r>
          </w:p>
          <w:p w14:paraId="70123CEE" w14:textId="77777777" w:rsidR="00E31A99" w:rsidRPr="00300A4B" w:rsidRDefault="00E31A99" w:rsidP="00E31A99">
            <w:pPr>
              <w:pStyle w:val="Default"/>
              <w:numPr>
                <w:ilvl w:val="0"/>
                <w:numId w:val="25"/>
              </w:numPr>
              <w:ind w:left="316" w:hanging="257"/>
              <w:rPr>
                <w:rStyle w:val="A5"/>
                <w:bCs/>
                <w:sz w:val="18"/>
                <w:szCs w:val="18"/>
              </w:rPr>
            </w:pPr>
            <w:r>
              <w:rPr>
                <w:rStyle w:val="A5"/>
                <w:bCs/>
                <w:sz w:val="18"/>
                <w:szCs w:val="18"/>
              </w:rPr>
              <w:t>A</w:t>
            </w:r>
            <w:r w:rsidRPr="00300A4B">
              <w:rPr>
                <w:rStyle w:val="A5"/>
                <w:bCs/>
                <w:sz w:val="18"/>
                <w:szCs w:val="18"/>
              </w:rPr>
              <w:t xml:space="preserve">ged </w:t>
            </w:r>
            <w:r>
              <w:rPr>
                <w:rStyle w:val="A5"/>
                <w:bCs/>
                <w:sz w:val="18"/>
                <w:szCs w:val="18"/>
              </w:rPr>
              <w:t>r</w:t>
            </w:r>
            <w:r w:rsidRPr="00300A4B">
              <w:rPr>
                <w:rStyle w:val="A5"/>
                <w:bCs/>
                <w:sz w:val="18"/>
                <w:szCs w:val="18"/>
              </w:rPr>
              <w:t xml:space="preserve">esidential </w:t>
            </w:r>
            <w:r>
              <w:rPr>
                <w:rStyle w:val="A5"/>
                <w:bCs/>
                <w:sz w:val="18"/>
                <w:szCs w:val="18"/>
              </w:rPr>
              <w:t>c</w:t>
            </w:r>
            <w:r w:rsidRPr="00300A4B">
              <w:rPr>
                <w:rStyle w:val="A5"/>
                <w:bCs/>
                <w:sz w:val="18"/>
                <w:szCs w:val="18"/>
              </w:rPr>
              <w:t>are</w:t>
            </w:r>
          </w:p>
          <w:p w14:paraId="06B8783E" w14:textId="77777777" w:rsidR="00E31A99" w:rsidRPr="00300A4B" w:rsidRDefault="00E31A99" w:rsidP="00E31A99">
            <w:pPr>
              <w:pStyle w:val="Default"/>
              <w:numPr>
                <w:ilvl w:val="0"/>
                <w:numId w:val="25"/>
              </w:numPr>
              <w:ind w:left="316" w:hanging="257"/>
              <w:rPr>
                <w:rStyle w:val="A5"/>
                <w:bCs/>
                <w:sz w:val="18"/>
                <w:szCs w:val="18"/>
              </w:rPr>
            </w:pPr>
            <w:r>
              <w:rPr>
                <w:rStyle w:val="A5"/>
                <w:bCs/>
                <w:sz w:val="18"/>
                <w:szCs w:val="18"/>
              </w:rPr>
              <w:t>F</w:t>
            </w:r>
            <w:r w:rsidRPr="00300A4B">
              <w:rPr>
                <w:rStyle w:val="A5"/>
                <w:bCs/>
                <w:sz w:val="18"/>
                <w:szCs w:val="18"/>
              </w:rPr>
              <w:t>acility-based respite care</w:t>
            </w:r>
          </w:p>
          <w:p w14:paraId="6DE986B6" w14:textId="77777777" w:rsidR="00E31A99" w:rsidRPr="00300A4B" w:rsidRDefault="00E31A99" w:rsidP="00E31A99">
            <w:pPr>
              <w:pStyle w:val="Default"/>
              <w:numPr>
                <w:ilvl w:val="0"/>
                <w:numId w:val="25"/>
              </w:numPr>
              <w:ind w:left="316" w:hanging="257"/>
              <w:rPr>
                <w:rStyle w:val="A5"/>
                <w:bCs/>
                <w:sz w:val="18"/>
                <w:szCs w:val="18"/>
              </w:rPr>
            </w:pPr>
            <w:r w:rsidRPr="00300A4B">
              <w:rPr>
                <w:rStyle w:val="A5"/>
                <w:bCs/>
                <w:sz w:val="18"/>
                <w:szCs w:val="18"/>
              </w:rPr>
              <w:t>Contract Board</w:t>
            </w:r>
          </w:p>
          <w:p w14:paraId="32E1EA0E" w14:textId="77777777" w:rsidR="00E31A99" w:rsidRPr="00300A4B" w:rsidRDefault="00E31A99" w:rsidP="00E31A99">
            <w:pPr>
              <w:pStyle w:val="Default"/>
              <w:numPr>
                <w:ilvl w:val="0"/>
                <w:numId w:val="25"/>
              </w:numPr>
              <w:ind w:left="316" w:hanging="257"/>
              <w:rPr>
                <w:rStyle w:val="A5"/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F</w:t>
            </w:r>
            <w:r w:rsidRPr="18A2C16A">
              <w:rPr>
                <w:rStyle w:val="A5"/>
                <w:sz w:val="18"/>
                <w:szCs w:val="18"/>
              </w:rPr>
              <w:t>oster care</w:t>
            </w:r>
          </w:p>
        </w:tc>
        <w:tc>
          <w:tcPr>
            <w:tcW w:w="4530" w:type="dxa"/>
          </w:tcPr>
          <w:p w14:paraId="1FDCF155" w14:textId="77777777" w:rsidR="00E31A99" w:rsidRPr="00300A4B" w:rsidRDefault="00E31A99" w:rsidP="005F2E43">
            <w:pPr>
              <w:pStyle w:val="Pa8"/>
              <w:spacing w:before="20" w:after="20" w:line="240" w:lineRule="auto"/>
              <w:rPr>
                <w:rFonts w:cs="Roboto"/>
                <w:color w:val="000000"/>
                <w:sz w:val="18"/>
                <w:szCs w:val="18"/>
              </w:rPr>
            </w:pPr>
            <w:r w:rsidRPr="00300A4B">
              <w:rPr>
                <w:rStyle w:val="A5"/>
                <w:b/>
                <w:bCs/>
                <w:sz w:val="18"/>
                <w:szCs w:val="18"/>
              </w:rPr>
              <w:t xml:space="preserve">Supports allocated by NASCs and funded nationally: </w:t>
            </w:r>
          </w:p>
          <w:p w14:paraId="7A22FFF9" w14:textId="77777777" w:rsidR="00E31A99" w:rsidRPr="00300A4B" w:rsidRDefault="00E31A99" w:rsidP="00E31A99">
            <w:pPr>
              <w:pStyle w:val="Default"/>
              <w:numPr>
                <w:ilvl w:val="0"/>
                <w:numId w:val="22"/>
              </w:numPr>
              <w:ind w:left="322" w:hanging="251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B</w:t>
            </w:r>
            <w:r w:rsidRPr="00300A4B">
              <w:rPr>
                <w:rStyle w:val="A5"/>
                <w:sz w:val="18"/>
                <w:szCs w:val="18"/>
              </w:rPr>
              <w:t xml:space="preserve">ehaviour support </w:t>
            </w:r>
          </w:p>
          <w:p w14:paraId="2BC2F935" w14:textId="77777777" w:rsidR="00E31A99" w:rsidRPr="00300A4B" w:rsidRDefault="00E31A99" w:rsidP="00E31A99">
            <w:pPr>
              <w:pStyle w:val="Default"/>
              <w:numPr>
                <w:ilvl w:val="0"/>
                <w:numId w:val="22"/>
              </w:numPr>
              <w:ind w:left="322" w:hanging="251"/>
              <w:rPr>
                <w:rStyle w:val="A5"/>
                <w:sz w:val="18"/>
                <w:szCs w:val="18"/>
              </w:rPr>
            </w:pPr>
            <w:r w:rsidRPr="00300A4B">
              <w:rPr>
                <w:rStyle w:val="A5"/>
                <w:sz w:val="18"/>
                <w:szCs w:val="18"/>
              </w:rPr>
              <w:t>Oranga Tamariki packages</w:t>
            </w:r>
          </w:p>
          <w:p w14:paraId="71DF2292" w14:textId="77777777" w:rsidR="00E31A99" w:rsidRPr="00300A4B" w:rsidRDefault="00E31A99" w:rsidP="00E31A99">
            <w:pPr>
              <w:pStyle w:val="Default"/>
              <w:numPr>
                <w:ilvl w:val="0"/>
                <w:numId w:val="22"/>
              </w:numPr>
              <w:ind w:left="322" w:hanging="251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S</w:t>
            </w:r>
            <w:r w:rsidRPr="00300A4B">
              <w:rPr>
                <w:rStyle w:val="A5"/>
                <w:sz w:val="18"/>
                <w:szCs w:val="18"/>
              </w:rPr>
              <w:t>upports paid via CMS</w:t>
            </w:r>
          </w:p>
          <w:p w14:paraId="183E1D59" w14:textId="77777777" w:rsidR="00E31A99" w:rsidRPr="00300A4B" w:rsidRDefault="00E31A99" w:rsidP="005F2E43">
            <w:pPr>
              <w:pStyle w:val="Pa6"/>
              <w:spacing w:before="20" w:after="20" w:line="240" w:lineRule="auto"/>
              <w:rPr>
                <w:rStyle w:val="A5"/>
                <w:sz w:val="18"/>
                <w:szCs w:val="18"/>
              </w:rPr>
            </w:pPr>
          </w:p>
        </w:tc>
      </w:tr>
      <w:tr w:rsidR="00E31A99" w:rsidRPr="00300A4B" w14:paraId="0BEC81C8" w14:textId="77777777" w:rsidTr="005F2E43">
        <w:tc>
          <w:tcPr>
            <w:tcW w:w="4530" w:type="dxa"/>
          </w:tcPr>
          <w:p w14:paraId="59F0CC2D" w14:textId="77777777" w:rsidR="00E31A99" w:rsidRPr="00300A4B" w:rsidRDefault="00E31A99" w:rsidP="005F2E43">
            <w:pPr>
              <w:pStyle w:val="Default"/>
              <w:spacing w:after="50"/>
              <w:rPr>
                <w:rStyle w:val="A5"/>
                <w:b/>
                <w:sz w:val="18"/>
                <w:szCs w:val="18"/>
              </w:rPr>
            </w:pPr>
            <w:r w:rsidRPr="00300A4B">
              <w:rPr>
                <w:rStyle w:val="A5"/>
                <w:b/>
                <w:sz w:val="18"/>
                <w:szCs w:val="18"/>
              </w:rPr>
              <w:t>Community-based supports</w:t>
            </w:r>
          </w:p>
          <w:p w14:paraId="05D5D2E9" w14:textId="77777777" w:rsidR="00E31A99" w:rsidRPr="00300A4B" w:rsidRDefault="00E31A99" w:rsidP="00E31A99">
            <w:pPr>
              <w:pStyle w:val="Default"/>
              <w:numPr>
                <w:ilvl w:val="0"/>
                <w:numId w:val="21"/>
              </w:numPr>
              <w:ind w:left="316" w:hanging="257"/>
              <w:rPr>
                <w:rStyle w:val="A5"/>
                <w:bCs/>
                <w:sz w:val="18"/>
                <w:szCs w:val="18"/>
              </w:rPr>
            </w:pPr>
            <w:r>
              <w:rPr>
                <w:rStyle w:val="A5"/>
                <w:bCs/>
                <w:sz w:val="18"/>
                <w:szCs w:val="18"/>
              </w:rPr>
              <w:t>H</w:t>
            </w:r>
            <w:r w:rsidRPr="00300A4B">
              <w:rPr>
                <w:rStyle w:val="A5"/>
                <w:bCs/>
                <w:sz w:val="18"/>
                <w:szCs w:val="18"/>
              </w:rPr>
              <w:t>ousehold management</w:t>
            </w:r>
          </w:p>
          <w:p w14:paraId="7708F215" w14:textId="77777777" w:rsidR="00E31A99" w:rsidRPr="00300A4B" w:rsidRDefault="00E31A99" w:rsidP="005F2E43">
            <w:pPr>
              <w:pStyle w:val="Default"/>
              <w:ind w:left="316"/>
              <w:rPr>
                <w:rStyle w:val="A5"/>
                <w:bCs/>
                <w:sz w:val="18"/>
                <w:szCs w:val="18"/>
              </w:rPr>
            </w:pPr>
            <w:r>
              <w:rPr>
                <w:rStyle w:val="A5"/>
                <w:bCs/>
                <w:sz w:val="18"/>
                <w:szCs w:val="18"/>
              </w:rPr>
              <w:t>P</w:t>
            </w:r>
            <w:r w:rsidRPr="00300A4B">
              <w:rPr>
                <w:rStyle w:val="A5"/>
                <w:bCs/>
                <w:sz w:val="18"/>
                <w:szCs w:val="18"/>
              </w:rPr>
              <w:t>ersonal care</w:t>
            </w:r>
          </w:p>
          <w:p w14:paraId="2D3C0DBC" w14:textId="77777777" w:rsidR="00E31A99" w:rsidRPr="00300A4B" w:rsidRDefault="00E31A99" w:rsidP="00E31A99">
            <w:pPr>
              <w:pStyle w:val="Default"/>
              <w:numPr>
                <w:ilvl w:val="0"/>
                <w:numId w:val="21"/>
              </w:numPr>
              <w:ind w:left="316" w:hanging="257"/>
              <w:rPr>
                <w:rStyle w:val="A5"/>
                <w:bCs/>
                <w:sz w:val="18"/>
                <w:szCs w:val="18"/>
              </w:rPr>
            </w:pPr>
            <w:r>
              <w:rPr>
                <w:rStyle w:val="A5"/>
                <w:bCs/>
                <w:sz w:val="18"/>
                <w:szCs w:val="18"/>
              </w:rPr>
              <w:t>S</w:t>
            </w:r>
            <w:r w:rsidRPr="00300A4B">
              <w:rPr>
                <w:rStyle w:val="A5"/>
                <w:bCs/>
                <w:sz w:val="18"/>
                <w:szCs w:val="18"/>
              </w:rPr>
              <w:t>upported living</w:t>
            </w:r>
          </w:p>
          <w:p w14:paraId="73E7B3BE" w14:textId="77777777" w:rsidR="00E31A99" w:rsidRPr="00300A4B" w:rsidRDefault="00E31A99" w:rsidP="00E31A99">
            <w:pPr>
              <w:pStyle w:val="Default"/>
              <w:numPr>
                <w:ilvl w:val="0"/>
                <w:numId w:val="21"/>
              </w:numPr>
              <w:ind w:left="316" w:hanging="257"/>
              <w:rPr>
                <w:bCs/>
                <w:sz w:val="18"/>
                <w:szCs w:val="18"/>
              </w:rPr>
            </w:pPr>
            <w:r>
              <w:rPr>
                <w:rStyle w:val="A5"/>
                <w:bCs/>
                <w:sz w:val="18"/>
                <w:szCs w:val="18"/>
              </w:rPr>
              <w:t>O</w:t>
            </w:r>
            <w:r w:rsidRPr="00300A4B">
              <w:rPr>
                <w:rStyle w:val="A5"/>
                <w:bCs/>
                <w:sz w:val="18"/>
                <w:szCs w:val="18"/>
              </w:rPr>
              <w:t>ther similar supports</w:t>
            </w:r>
          </w:p>
          <w:p w14:paraId="1AE7870C" w14:textId="77777777" w:rsidR="00E31A99" w:rsidRPr="00300A4B" w:rsidRDefault="00E31A99" w:rsidP="005F2E43">
            <w:pPr>
              <w:pStyle w:val="Default"/>
              <w:spacing w:after="50"/>
              <w:rPr>
                <w:rStyle w:val="A5"/>
                <w:bCs/>
                <w:sz w:val="18"/>
                <w:szCs w:val="18"/>
              </w:rPr>
            </w:pPr>
          </w:p>
        </w:tc>
        <w:tc>
          <w:tcPr>
            <w:tcW w:w="4530" w:type="dxa"/>
          </w:tcPr>
          <w:p w14:paraId="3F349720" w14:textId="77777777" w:rsidR="00E31A99" w:rsidRPr="00300A4B" w:rsidRDefault="00E31A99" w:rsidP="005F2E43">
            <w:pPr>
              <w:pStyle w:val="Pa8"/>
              <w:spacing w:before="20" w:after="20" w:line="240" w:lineRule="auto"/>
              <w:rPr>
                <w:rStyle w:val="A5"/>
                <w:sz w:val="18"/>
                <w:szCs w:val="18"/>
              </w:rPr>
            </w:pPr>
            <w:r w:rsidRPr="00300A4B">
              <w:rPr>
                <w:rStyle w:val="A5"/>
                <w:b/>
                <w:bCs/>
                <w:sz w:val="18"/>
                <w:szCs w:val="18"/>
              </w:rPr>
              <w:t>Funding managed nationally:</w:t>
            </w:r>
          </w:p>
          <w:p w14:paraId="5F967034" w14:textId="77777777" w:rsidR="00E31A99" w:rsidRPr="00300A4B" w:rsidRDefault="00E31A99" w:rsidP="00E31A99">
            <w:pPr>
              <w:pStyle w:val="Default"/>
              <w:numPr>
                <w:ilvl w:val="0"/>
                <w:numId w:val="23"/>
              </w:numPr>
              <w:spacing w:after="21"/>
              <w:ind w:left="322" w:hanging="283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E</w:t>
            </w:r>
            <w:r w:rsidRPr="00300A4B">
              <w:rPr>
                <w:rStyle w:val="A5"/>
                <w:sz w:val="18"/>
                <w:szCs w:val="18"/>
              </w:rPr>
              <w:t>nvironmental supports, including equipment, hearing aids, and cochlear implants</w:t>
            </w:r>
          </w:p>
          <w:p w14:paraId="295B62F8" w14:textId="77777777" w:rsidR="00E31A99" w:rsidRPr="00300A4B" w:rsidRDefault="00E31A99" w:rsidP="00E31A99">
            <w:pPr>
              <w:pStyle w:val="Default"/>
              <w:numPr>
                <w:ilvl w:val="0"/>
                <w:numId w:val="23"/>
              </w:numPr>
              <w:spacing w:after="21"/>
              <w:ind w:left="322" w:hanging="283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C</w:t>
            </w:r>
            <w:r w:rsidRPr="00300A4B">
              <w:rPr>
                <w:rStyle w:val="A5"/>
                <w:sz w:val="18"/>
                <w:szCs w:val="18"/>
              </w:rPr>
              <w:t xml:space="preserve">onnecting costs, including the costs of the NASC and DIAS contracts </w:t>
            </w:r>
          </w:p>
          <w:p w14:paraId="31F08309" w14:textId="77777777" w:rsidR="00E31A99" w:rsidRPr="00300A4B" w:rsidRDefault="00E31A99" w:rsidP="00E31A99">
            <w:pPr>
              <w:pStyle w:val="Default"/>
              <w:numPr>
                <w:ilvl w:val="0"/>
                <w:numId w:val="23"/>
              </w:numPr>
              <w:spacing w:after="21"/>
              <w:ind w:left="322" w:hanging="283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C</w:t>
            </w:r>
            <w:r w:rsidRPr="00300A4B">
              <w:rPr>
                <w:rStyle w:val="A5"/>
                <w:sz w:val="18"/>
                <w:szCs w:val="18"/>
              </w:rPr>
              <w:t xml:space="preserve">hild development services </w:t>
            </w:r>
          </w:p>
          <w:p w14:paraId="72DFB9EC" w14:textId="77777777" w:rsidR="00E31A99" w:rsidRPr="00946F6F" w:rsidRDefault="00E31A99" w:rsidP="00E31A99">
            <w:pPr>
              <w:pStyle w:val="Default"/>
              <w:numPr>
                <w:ilvl w:val="0"/>
                <w:numId w:val="23"/>
              </w:numPr>
              <w:ind w:left="322" w:hanging="283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S</w:t>
            </w:r>
            <w:r w:rsidRPr="00300A4B">
              <w:rPr>
                <w:rStyle w:val="A5"/>
                <w:sz w:val="18"/>
                <w:szCs w:val="18"/>
              </w:rPr>
              <w:t>upports under the High and Complex Framework, including Secure Forensic Care, and RIDSAS</w:t>
            </w:r>
          </w:p>
        </w:tc>
      </w:tr>
      <w:tr w:rsidR="00E31A99" w:rsidRPr="00300A4B" w14:paraId="5A7C81DD" w14:textId="77777777" w:rsidTr="005F2E43">
        <w:tc>
          <w:tcPr>
            <w:tcW w:w="4530" w:type="dxa"/>
          </w:tcPr>
          <w:p w14:paraId="0B3B90A1" w14:textId="77777777" w:rsidR="00E31A99" w:rsidRPr="00300A4B" w:rsidRDefault="00E31A99" w:rsidP="005F2E43">
            <w:pPr>
              <w:pStyle w:val="Default"/>
              <w:spacing w:after="50"/>
              <w:rPr>
                <w:rStyle w:val="A5"/>
                <w:b/>
                <w:sz w:val="18"/>
                <w:szCs w:val="18"/>
              </w:rPr>
            </w:pPr>
            <w:r w:rsidRPr="00300A4B">
              <w:rPr>
                <w:rStyle w:val="A5"/>
                <w:b/>
                <w:sz w:val="18"/>
                <w:szCs w:val="18"/>
              </w:rPr>
              <w:t>Flexible supports</w:t>
            </w:r>
          </w:p>
          <w:p w14:paraId="07282218" w14:textId="77777777" w:rsidR="00E31A99" w:rsidRPr="00300A4B" w:rsidRDefault="00E31A99" w:rsidP="00E31A99">
            <w:pPr>
              <w:pStyle w:val="Default"/>
              <w:numPr>
                <w:ilvl w:val="0"/>
                <w:numId w:val="21"/>
              </w:numPr>
              <w:ind w:left="316" w:hanging="263"/>
              <w:rPr>
                <w:rStyle w:val="A5"/>
                <w:bCs/>
                <w:sz w:val="18"/>
                <w:szCs w:val="18"/>
              </w:rPr>
            </w:pPr>
            <w:r w:rsidRPr="00300A4B">
              <w:rPr>
                <w:rStyle w:val="A5"/>
                <w:bCs/>
                <w:sz w:val="18"/>
                <w:szCs w:val="18"/>
              </w:rPr>
              <w:t xml:space="preserve">IF </w:t>
            </w:r>
            <w:r>
              <w:rPr>
                <w:rStyle w:val="A5"/>
                <w:bCs/>
                <w:sz w:val="18"/>
                <w:szCs w:val="18"/>
              </w:rPr>
              <w:t>h</w:t>
            </w:r>
            <w:r w:rsidRPr="00300A4B">
              <w:rPr>
                <w:rStyle w:val="A5"/>
                <w:bCs/>
                <w:sz w:val="18"/>
                <w:szCs w:val="18"/>
              </w:rPr>
              <w:t xml:space="preserve">ousehold </w:t>
            </w:r>
            <w:r>
              <w:rPr>
                <w:rStyle w:val="A5"/>
                <w:bCs/>
                <w:sz w:val="18"/>
                <w:szCs w:val="18"/>
              </w:rPr>
              <w:t>m</w:t>
            </w:r>
            <w:r w:rsidRPr="00300A4B">
              <w:rPr>
                <w:rStyle w:val="A5"/>
                <w:bCs/>
                <w:sz w:val="18"/>
                <w:szCs w:val="18"/>
              </w:rPr>
              <w:t>anagement</w:t>
            </w:r>
          </w:p>
          <w:p w14:paraId="29B0AFA3" w14:textId="77777777" w:rsidR="00E31A99" w:rsidRPr="00300A4B" w:rsidRDefault="00E31A99" w:rsidP="00E31A99">
            <w:pPr>
              <w:pStyle w:val="Default"/>
              <w:numPr>
                <w:ilvl w:val="0"/>
                <w:numId w:val="21"/>
              </w:numPr>
              <w:ind w:left="316" w:hanging="263"/>
              <w:rPr>
                <w:rStyle w:val="A5"/>
                <w:bCs/>
                <w:sz w:val="18"/>
                <w:szCs w:val="18"/>
              </w:rPr>
            </w:pPr>
            <w:r w:rsidRPr="00300A4B">
              <w:rPr>
                <w:rStyle w:val="A5"/>
                <w:bCs/>
                <w:sz w:val="18"/>
                <w:szCs w:val="18"/>
              </w:rPr>
              <w:t xml:space="preserve">IF </w:t>
            </w:r>
            <w:r>
              <w:rPr>
                <w:rStyle w:val="A5"/>
                <w:bCs/>
                <w:sz w:val="18"/>
                <w:szCs w:val="18"/>
              </w:rPr>
              <w:t>p</w:t>
            </w:r>
            <w:r w:rsidRPr="00300A4B">
              <w:rPr>
                <w:rStyle w:val="A5"/>
                <w:bCs/>
                <w:sz w:val="18"/>
                <w:szCs w:val="18"/>
              </w:rPr>
              <w:t xml:space="preserve">ersonal </w:t>
            </w:r>
            <w:r>
              <w:rPr>
                <w:rStyle w:val="A5"/>
                <w:bCs/>
                <w:sz w:val="18"/>
                <w:szCs w:val="18"/>
              </w:rPr>
              <w:t>c</w:t>
            </w:r>
            <w:r w:rsidRPr="00300A4B">
              <w:rPr>
                <w:rStyle w:val="A5"/>
                <w:bCs/>
                <w:sz w:val="18"/>
                <w:szCs w:val="18"/>
              </w:rPr>
              <w:t>are</w:t>
            </w:r>
          </w:p>
          <w:p w14:paraId="7A4ECD8A" w14:textId="77777777" w:rsidR="00E31A99" w:rsidRPr="00300A4B" w:rsidRDefault="00E31A99" w:rsidP="00E31A99">
            <w:pPr>
              <w:pStyle w:val="Default"/>
              <w:numPr>
                <w:ilvl w:val="0"/>
                <w:numId w:val="21"/>
              </w:numPr>
              <w:ind w:left="316" w:hanging="263"/>
              <w:rPr>
                <w:rStyle w:val="A5"/>
                <w:bCs/>
                <w:sz w:val="18"/>
                <w:szCs w:val="18"/>
              </w:rPr>
            </w:pPr>
            <w:r w:rsidRPr="00300A4B">
              <w:rPr>
                <w:rStyle w:val="A5"/>
                <w:bCs/>
                <w:sz w:val="18"/>
                <w:szCs w:val="18"/>
              </w:rPr>
              <w:t xml:space="preserve">IF </w:t>
            </w:r>
            <w:r>
              <w:rPr>
                <w:rStyle w:val="A5"/>
                <w:bCs/>
                <w:sz w:val="18"/>
                <w:szCs w:val="18"/>
              </w:rPr>
              <w:t>r</w:t>
            </w:r>
            <w:r w:rsidRPr="00300A4B">
              <w:rPr>
                <w:rStyle w:val="A5"/>
                <w:bCs/>
                <w:sz w:val="18"/>
                <w:szCs w:val="18"/>
              </w:rPr>
              <w:t>espite</w:t>
            </w:r>
          </w:p>
          <w:p w14:paraId="3C30125B" w14:textId="77777777" w:rsidR="00E31A99" w:rsidRPr="00300A4B" w:rsidRDefault="00E31A99" w:rsidP="00E31A99">
            <w:pPr>
              <w:pStyle w:val="Default"/>
              <w:numPr>
                <w:ilvl w:val="0"/>
                <w:numId w:val="21"/>
              </w:numPr>
              <w:ind w:left="316" w:hanging="263"/>
              <w:rPr>
                <w:rStyle w:val="A5"/>
                <w:bCs/>
                <w:sz w:val="18"/>
                <w:szCs w:val="18"/>
              </w:rPr>
            </w:pPr>
            <w:r w:rsidRPr="00300A4B">
              <w:rPr>
                <w:rStyle w:val="A5"/>
                <w:bCs/>
                <w:sz w:val="18"/>
                <w:szCs w:val="18"/>
              </w:rPr>
              <w:t>Enhanced Individualised Funding</w:t>
            </w:r>
            <w:r>
              <w:rPr>
                <w:rStyle w:val="A5"/>
                <w:bCs/>
                <w:sz w:val="18"/>
                <w:szCs w:val="18"/>
              </w:rPr>
              <w:t xml:space="preserve"> (EIF</w:t>
            </w:r>
            <w:r w:rsidRPr="00300A4B">
              <w:rPr>
                <w:rStyle w:val="A5"/>
                <w:bCs/>
                <w:sz w:val="18"/>
                <w:szCs w:val="18"/>
              </w:rPr>
              <w:t>)</w:t>
            </w:r>
          </w:p>
          <w:p w14:paraId="1B3D0434" w14:textId="77777777" w:rsidR="00E31A99" w:rsidRPr="00300A4B" w:rsidRDefault="00E31A99" w:rsidP="00E31A99">
            <w:pPr>
              <w:pStyle w:val="Default"/>
              <w:numPr>
                <w:ilvl w:val="0"/>
                <w:numId w:val="21"/>
              </w:numPr>
              <w:ind w:left="316" w:hanging="263"/>
              <w:rPr>
                <w:rStyle w:val="A5"/>
                <w:bCs/>
                <w:sz w:val="18"/>
                <w:szCs w:val="18"/>
              </w:rPr>
            </w:pPr>
            <w:r>
              <w:rPr>
                <w:rStyle w:val="A5"/>
                <w:bCs/>
                <w:sz w:val="18"/>
                <w:szCs w:val="18"/>
              </w:rPr>
              <w:t>C</w:t>
            </w:r>
            <w:r w:rsidRPr="00300A4B">
              <w:rPr>
                <w:rStyle w:val="A5"/>
                <w:bCs/>
                <w:sz w:val="18"/>
                <w:szCs w:val="18"/>
              </w:rPr>
              <w:t xml:space="preserve">arer </w:t>
            </w:r>
            <w:r>
              <w:rPr>
                <w:rStyle w:val="A5"/>
                <w:bCs/>
                <w:sz w:val="18"/>
                <w:szCs w:val="18"/>
              </w:rPr>
              <w:t>S</w:t>
            </w:r>
            <w:r w:rsidRPr="00300A4B">
              <w:rPr>
                <w:rStyle w:val="A5"/>
                <w:bCs/>
                <w:sz w:val="18"/>
                <w:szCs w:val="18"/>
              </w:rPr>
              <w:t>upport</w:t>
            </w:r>
          </w:p>
          <w:p w14:paraId="0ED6FBE3" w14:textId="77777777" w:rsidR="00E31A99" w:rsidRPr="00300A4B" w:rsidRDefault="00E31A99" w:rsidP="00E31A99">
            <w:pPr>
              <w:pStyle w:val="Default"/>
              <w:numPr>
                <w:ilvl w:val="0"/>
                <w:numId w:val="21"/>
              </w:numPr>
              <w:ind w:left="316" w:hanging="263"/>
              <w:rPr>
                <w:rStyle w:val="A5"/>
                <w:bCs/>
                <w:sz w:val="18"/>
                <w:szCs w:val="18"/>
              </w:rPr>
            </w:pPr>
            <w:r w:rsidRPr="00300A4B">
              <w:rPr>
                <w:rStyle w:val="A5"/>
                <w:bCs/>
                <w:sz w:val="18"/>
                <w:szCs w:val="18"/>
              </w:rPr>
              <w:t>EGL Personal Budget Services</w:t>
            </w:r>
          </w:p>
          <w:p w14:paraId="6889E165" w14:textId="77777777" w:rsidR="00E31A99" w:rsidRPr="00300A4B" w:rsidRDefault="00E31A99" w:rsidP="00E31A99">
            <w:pPr>
              <w:pStyle w:val="Default"/>
              <w:numPr>
                <w:ilvl w:val="0"/>
                <w:numId w:val="21"/>
              </w:numPr>
              <w:ind w:left="316" w:hanging="263"/>
              <w:rPr>
                <w:rStyle w:val="A5"/>
                <w:bCs/>
                <w:sz w:val="18"/>
                <w:szCs w:val="18"/>
              </w:rPr>
            </w:pPr>
            <w:r w:rsidRPr="00300A4B">
              <w:rPr>
                <w:rStyle w:val="A5"/>
                <w:bCs/>
                <w:sz w:val="18"/>
                <w:szCs w:val="18"/>
              </w:rPr>
              <w:t>Choices In Community Living</w:t>
            </w:r>
          </w:p>
          <w:p w14:paraId="0C98C6CC" w14:textId="77777777" w:rsidR="00E31A99" w:rsidRPr="00946F6F" w:rsidRDefault="00E31A99" w:rsidP="00E31A99">
            <w:pPr>
              <w:pStyle w:val="Default"/>
              <w:numPr>
                <w:ilvl w:val="0"/>
                <w:numId w:val="21"/>
              </w:numPr>
              <w:ind w:left="316" w:hanging="263"/>
              <w:rPr>
                <w:rStyle w:val="A5"/>
                <w:b/>
                <w:sz w:val="18"/>
                <w:szCs w:val="18"/>
              </w:rPr>
            </w:pPr>
            <w:r w:rsidRPr="00300A4B">
              <w:rPr>
                <w:rStyle w:val="A5"/>
                <w:bCs/>
                <w:sz w:val="18"/>
                <w:szCs w:val="18"/>
              </w:rPr>
              <w:t>Flexible Disability Supports</w:t>
            </w:r>
          </w:p>
        </w:tc>
        <w:tc>
          <w:tcPr>
            <w:tcW w:w="4530" w:type="dxa"/>
          </w:tcPr>
          <w:p w14:paraId="5C0F3130" w14:textId="77777777" w:rsidR="00E31A99" w:rsidRPr="00300A4B" w:rsidRDefault="00E31A99" w:rsidP="005F2E43">
            <w:pPr>
              <w:pStyle w:val="Pa8"/>
              <w:spacing w:before="20" w:after="20" w:line="240" w:lineRule="auto"/>
              <w:rPr>
                <w:rStyle w:val="A5"/>
                <w:b/>
                <w:bCs/>
                <w:sz w:val="18"/>
                <w:szCs w:val="18"/>
              </w:rPr>
            </w:pPr>
            <w:r w:rsidRPr="00300A4B">
              <w:rPr>
                <w:rStyle w:val="A5"/>
                <w:b/>
                <w:bCs/>
                <w:sz w:val="18"/>
                <w:szCs w:val="18"/>
              </w:rPr>
              <w:t>Ancillary costs</w:t>
            </w:r>
          </w:p>
          <w:p w14:paraId="4DDED74D" w14:textId="77777777" w:rsidR="00E31A99" w:rsidRPr="00300A4B" w:rsidRDefault="00E31A99" w:rsidP="00E31A99">
            <w:pPr>
              <w:pStyle w:val="Default"/>
              <w:numPr>
                <w:ilvl w:val="0"/>
                <w:numId w:val="24"/>
              </w:numPr>
              <w:spacing w:after="21"/>
              <w:ind w:left="322" w:hanging="257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S</w:t>
            </w:r>
            <w:r w:rsidRPr="00300A4B">
              <w:rPr>
                <w:rStyle w:val="A5"/>
                <w:sz w:val="18"/>
                <w:szCs w:val="18"/>
              </w:rPr>
              <w:t xml:space="preserve">leepover top-up payments </w:t>
            </w:r>
          </w:p>
          <w:p w14:paraId="78F68F25" w14:textId="77777777" w:rsidR="00E31A99" w:rsidRPr="00300A4B" w:rsidRDefault="00E31A99" w:rsidP="00E31A99">
            <w:pPr>
              <w:pStyle w:val="Default"/>
              <w:numPr>
                <w:ilvl w:val="0"/>
                <w:numId w:val="24"/>
              </w:numPr>
              <w:spacing w:after="21"/>
              <w:ind w:left="322" w:hanging="257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 xml:space="preserve">Previously agreed </w:t>
            </w:r>
            <w:r w:rsidRPr="00300A4B">
              <w:rPr>
                <w:rStyle w:val="A5"/>
                <w:sz w:val="18"/>
                <w:szCs w:val="18"/>
              </w:rPr>
              <w:t xml:space="preserve">pay equity </w:t>
            </w:r>
          </w:p>
          <w:p w14:paraId="25DE670B" w14:textId="77777777" w:rsidR="00E31A99" w:rsidRPr="00300A4B" w:rsidRDefault="00E31A99" w:rsidP="00E31A99">
            <w:pPr>
              <w:pStyle w:val="Default"/>
              <w:numPr>
                <w:ilvl w:val="0"/>
                <w:numId w:val="24"/>
              </w:numPr>
              <w:ind w:left="322" w:hanging="257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I</w:t>
            </w:r>
            <w:r w:rsidRPr="00300A4B">
              <w:rPr>
                <w:rStyle w:val="A5"/>
                <w:sz w:val="18"/>
                <w:szCs w:val="18"/>
              </w:rPr>
              <w:t>n-between travel</w:t>
            </w:r>
          </w:p>
          <w:p w14:paraId="6023DA59" w14:textId="77777777" w:rsidR="00E31A99" w:rsidRPr="00300A4B" w:rsidRDefault="00E31A99" w:rsidP="005F2E43">
            <w:pPr>
              <w:pStyle w:val="Default"/>
              <w:rPr>
                <w:sz w:val="18"/>
                <w:szCs w:val="18"/>
              </w:rPr>
            </w:pPr>
          </w:p>
        </w:tc>
      </w:tr>
    </w:tbl>
    <w:p w14:paraId="758EECF3" w14:textId="77777777" w:rsidR="00E31A99" w:rsidRDefault="00E31A99" w:rsidP="00E31A99"/>
    <w:p w14:paraId="0725152D" w14:textId="77777777" w:rsidR="00E31A99" w:rsidRDefault="00E31A99" w:rsidP="00E31A99">
      <w:pPr>
        <w:pStyle w:val="paragraph"/>
        <w:spacing w:before="0" w:beforeAutospacing="0" w:after="0" w:afterAutospacing="0"/>
        <w:rPr>
          <w:rStyle w:val="eop"/>
          <w:rFonts w:ascii="Roboto" w:hAnsi="Roboto" w:cs="Segoe UI"/>
          <w:sz w:val="22"/>
          <w:szCs w:val="22"/>
        </w:rPr>
      </w:pPr>
      <w:r w:rsidRPr="6C093331">
        <w:rPr>
          <w:rStyle w:val="eop"/>
          <w:rFonts w:ascii="Roboto" w:hAnsi="Roboto" w:cs="Segoe UI"/>
          <w:sz w:val="22"/>
          <w:szCs w:val="22"/>
        </w:rPr>
        <w:t xml:space="preserve">Work to further develop </w:t>
      </w:r>
      <w:r w:rsidRPr="37AA885F">
        <w:rPr>
          <w:rStyle w:val="eop"/>
          <w:rFonts w:ascii="Roboto" w:hAnsi="Roboto" w:cs="Segoe UI"/>
          <w:sz w:val="22"/>
          <w:szCs w:val="22"/>
        </w:rPr>
        <w:t xml:space="preserve">the NASC budget </w:t>
      </w:r>
      <w:r>
        <w:rPr>
          <w:rStyle w:val="eop"/>
          <w:rFonts w:ascii="Roboto" w:hAnsi="Roboto" w:cs="Segoe UI"/>
          <w:sz w:val="22"/>
          <w:szCs w:val="22"/>
        </w:rPr>
        <w:t>approach</w:t>
      </w:r>
      <w:r w:rsidRPr="6AA0CEB7">
        <w:rPr>
          <w:rStyle w:val="eop"/>
          <w:rFonts w:ascii="Roboto" w:hAnsi="Roboto" w:cs="Segoe UI"/>
          <w:sz w:val="22"/>
          <w:szCs w:val="22"/>
        </w:rPr>
        <w:t xml:space="preserve"> to </w:t>
      </w:r>
      <w:r w:rsidRPr="4FEFE735">
        <w:rPr>
          <w:rStyle w:val="eop"/>
          <w:rFonts w:ascii="Roboto" w:hAnsi="Roboto" w:cs="Segoe UI"/>
          <w:sz w:val="22"/>
          <w:szCs w:val="22"/>
        </w:rPr>
        <w:t xml:space="preserve">account for factors such </w:t>
      </w:r>
      <w:r w:rsidRPr="1439E047">
        <w:rPr>
          <w:rStyle w:val="eop"/>
          <w:rFonts w:ascii="Roboto" w:hAnsi="Roboto" w:cs="Segoe UI"/>
          <w:sz w:val="22"/>
          <w:szCs w:val="22"/>
        </w:rPr>
        <w:t xml:space="preserve">as changes in </w:t>
      </w:r>
      <w:r w:rsidRPr="53560C8A">
        <w:rPr>
          <w:rStyle w:val="eop"/>
          <w:rFonts w:ascii="Roboto" w:hAnsi="Roboto" w:cs="Segoe UI"/>
          <w:sz w:val="22"/>
          <w:szCs w:val="22"/>
        </w:rPr>
        <w:t xml:space="preserve">population will be </w:t>
      </w:r>
      <w:r w:rsidRPr="26C994F2">
        <w:rPr>
          <w:rStyle w:val="eop"/>
          <w:rFonts w:ascii="Roboto" w:hAnsi="Roboto" w:cs="Segoe UI"/>
          <w:sz w:val="22"/>
          <w:szCs w:val="22"/>
        </w:rPr>
        <w:t xml:space="preserve">considered in the </w:t>
      </w:r>
      <w:r>
        <w:rPr>
          <w:rStyle w:val="eop"/>
          <w:rFonts w:ascii="Roboto" w:hAnsi="Roboto" w:cs="Segoe UI"/>
          <w:sz w:val="22"/>
          <w:szCs w:val="22"/>
        </w:rPr>
        <w:t>next phase of work: s</w:t>
      </w:r>
      <w:r w:rsidRPr="029ADDC9">
        <w:rPr>
          <w:rStyle w:val="eop"/>
          <w:rFonts w:ascii="Roboto" w:hAnsi="Roboto" w:cs="Segoe UI"/>
          <w:sz w:val="22"/>
          <w:szCs w:val="22"/>
        </w:rPr>
        <w:t>trengthening.</w:t>
      </w:r>
    </w:p>
    <w:p w14:paraId="34AA0C3B" w14:textId="77777777" w:rsidR="00E31A99" w:rsidRDefault="00E31A99" w:rsidP="00E31A99">
      <w:pPr>
        <w:pStyle w:val="Heading2"/>
      </w:pPr>
      <w:r>
        <w:t>More information</w:t>
      </w:r>
    </w:p>
    <w:p w14:paraId="7AA405B4" w14:textId="77777777" w:rsidR="00E31A99" w:rsidRPr="00E31644" w:rsidRDefault="00E31A99" w:rsidP="00E31A99">
      <w:pPr>
        <w:rPr>
          <w:szCs w:val="22"/>
        </w:rPr>
      </w:pPr>
      <w:r w:rsidRPr="00E31644">
        <w:rPr>
          <w:szCs w:val="22"/>
        </w:rPr>
        <w:t xml:space="preserve">Please contact your Portfolio Manager </w:t>
      </w:r>
      <w:r>
        <w:rPr>
          <w:szCs w:val="22"/>
        </w:rPr>
        <w:t>for</w:t>
      </w:r>
      <w:r w:rsidRPr="00E31644">
        <w:rPr>
          <w:szCs w:val="22"/>
        </w:rPr>
        <w:t xml:space="preserve"> more information.</w:t>
      </w:r>
    </w:p>
    <w:p w14:paraId="13197EF0" w14:textId="3C0BDB07" w:rsidR="00642B36" w:rsidRPr="00642B36" w:rsidRDefault="00642B36" w:rsidP="00E31A99">
      <w:pPr>
        <w:pStyle w:val="Heading3"/>
        <w:spacing w:before="0"/>
      </w:pPr>
    </w:p>
    <w:sectPr w:rsidR="00642B36" w:rsidRPr="00642B36" w:rsidSect="00E31A99">
      <w:pgSz w:w="11906" w:h="16838"/>
      <w:pgMar w:top="2041" w:right="851" w:bottom="1814" w:left="851" w:header="709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9A8DB" w14:textId="77777777" w:rsidR="00EB27CB" w:rsidRDefault="00EB27CB" w:rsidP="00B812CC">
      <w:r>
        <w:separator/>
      </w:r>
    </w:p>
    <w:p w14:paraId="087FD98A" w14:textId="77777777" w:rsidR="00EB27CB" w:rsidRDefault="00EB27CB" w:rsidP="00B812CC"/>
    <w:p w14:paraId="2BC93FE7" w14:textId="77777777" w:rsidR="00EB27CB" w:rsidRDefault="00EB27CB" w:rsidP="00B812CC"/>
    <w:p w14:paraId="62A5404E" w14:textId="77777777" w:rsidR="00EB27CB" w:rsidRDefault="00EB27CB" w:rsidP="00B812CC"/>
    <w:p w14:paraId="78A0E3CC" w14:textId="77777777" w:rsidR="00EB27CB" w:rsidRDefault="00EB27CB"/>
  </w:endnote>
  <w:endnote w:type="continuationSeparator" w:id="0">
    <w:p w14:paraId="4BFAF9D0" w14:textId="77777777" w:rsidR="00EB27CB" w:rsidRDefault="00EB27CB" w:rsidP="00B812CC">
      <w:r>
        <w:continuationSeparator/>
      </w:r>
    </w:p>
    <w:p w14:paraId="764E7BD2" w14:textId="77777777" w:rsidR="00EB27CB" w:rsidRDefault="00EB27CB" w:rsidP="00B812CC"/>
    <w:p w14:paraId="3BF130A2" w14:textId="77777777" w:rsidR="00EB27CB" w:rsidRDefault="00EB27CB" w:rsidP="00B812CC"/>
    <w:p w14:paraId="2EE38EBE" w14:textId="77777777" w:rsidR="00EB27CB" w:rsidRDefault="00EB27CB" w:rsidP="00B812CC"/>
    <w:p w14:paraId="6AE7EB55" w14:textId="77777777" w:rsidR="00EB27CB" w:rsidRDefault="00EB27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 Pro Semibold">
    <w:charset w:val="00"/>
    <w:family w:val="swiss"/>
    <w:pitch w:val="variable"/>
    <w:sig w:usb0="80000287" w:usb1="0000004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110BB" w14:textId="414BAAAE" w:rsidR="00F66E9E" w:rsidRDefault="00F66E9E">
    <w:pPr>
      <w:pStyle w:val="Footer"/>
    </w:pPr>
    <w:r>
      <w:rPr>
        <w:noProof/>
      </w:rPr>
      <w:drawing>
        <wp:anchor distT="0" distB="0" distL="114300" distR="114300" simplePos="0" relativeHeight="251714560" behindDoc="1" locked="0" layoutInCell="1" allowOverlap="1" wp14:anchorId="0EDF9966" wp14:editId="40EA5B3F">
          <wp:simplePos x="0" y="0"/>
          <wp:positionH relativeFrom="page">
            <wp:posOffset>93980</wp:posOffset>
          </wp:positionH>
          <wp:positionV relativeFrom="paragraph">
            <wp:posOffset>-587938</wp:posOffset>
          </wp:positionV>
          <wp:extent cx="7345126" cy="896459"/>
          <wp:effectExtent l="0" t="0" r="0" b="0"/>
          <wp:wrapNone/>
          <wp:docPr id="102582775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110306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" t="90059" r="109" b="1324"/>
                  <a:stretch/>
                </pic:blipFill>
                <pic:spPr bwMode="auto">
                  <a:xfrm>
                    <a:off x="0" y="0"/>
                    <a:ext cx="7345126" cy="8964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7B2FD" w14:textId="77777777" w:rsidR="00EB27CB" w:rsidRDefault="00EB27CB" w:rsidP="00B812CC">
      <w:r>
        <w:separator/>
      </w:r>
    </w:p>
    <w:p w14:paraId="5D6A71DE" w14:textId="77777777" w:rsidR="00EB27CB" w:rsidRDefault="00EB27CB" w:rsidP="00B812CC"/>
    <w:p w14:paraId="579F494F" w14:textId="77777777" w:rsidR="00EB27CB" w:rsidRDefault="00EB27CB" w:rsidP="00B812CC"/>
    <w:p w14:paraId="14CC389D" w14:textId="77777777" w:rsidR="00EB27CB" w:rsidRDefault="00EB27CB" w:rsidP="00B812CC"/>
    <w:p w14:paraId="79A49B80" w14:textId="77777777" w:rsidR="00EB27CB" w:rsidRDefault="00EB27CB"/>
  </w:footnote>
  <w:footnote w:type="continuationSeparator" w:id="0">
    <w:p w14:paraId="67F4EFC2" w14:textId="77777777" w:rsidR="00EB27CB" w:rsidRDefault="00EB27CB" w:rsidP="00B812CC">
      <w:r>
        <w:continuationSeparator/>
      </w:r>
    </w:p>
    <w:p w14:paraId="3A9EC83C" w14:textId="77777777" w:rsidR="00EB27CB" w:rsidRDefault="00EB27CB" w:rsidP="00B812CC"/>
    <w:p w14:paraId="787468B4" w14:textId="77777777" w:rsidR="00EB27CB" w:rsidRDefault="00EB27CB" w:rsidP="00B812CC"/>
    <w:p w14:paraId="24E1C976" w14:textId="77777777" w:rsidR="00EB27CB" w:rsidRDefault="00EB27CB" w:rsidP="00B812CC"/>
    <w:p w14:paraId="04FA8851" w14:textId="77777777" w:rsidR="00EB27CB" w:rsidRDefault="00EB27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C6D2F" w14:textId="635278A2" w:rsidR="00643C1B" w:rsidRDefault="00F66E9E" w:rsidP="00302C91">
    <w:pPr>
      <w:pStyle w:val="Header"/>
      <w:tabs>
        <w:tab w:val="clear" w:pos="4513"/>
        <w:tab w:val="clear" w:pos="9026"/>
        <w:tab w:val="left" w:pos="3568"/>
        <w:tab w:val="left" w:pos="9385"/>
      </w:tabs>
    </w:pPr>
    <w:r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AF8C58C" wp14:editId="1435A787">
              <wp:simplePos x="0" y="0"/>
              <wp:positionH relativeFrom="margin">
                <wp:posOffset>6145514</wp:posOffset>
              </wp:positionH>
              <wp:positionV relativeFrom="page">
                <wp:posOffset>159529</wp:posOffset>
              </wp:positionV>
              <wp:extent cx="443865" cy="381635"/>
              <wp:effectExtent l="0" t="0" r="10160" b="18415"/>
              <wp:wrapNone/>
              <wp:docPr id="658330485" name="Text Box 658330485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9E1993" w14:textId="39CC3085" w:rsidR="00411F2F" w:rsidRPr="00643C1B" w:rsidRDefault="00F66E9E" w:rsidP="00411F2F">
                          <w:pPr>
                            <w:pStyle w:val="Pagedetails"/>
                          </w:pPr>
                          <w:r>
                            <w:t>May</w:t>
                          </w:r>
                          <w:r w:rsidR="00411F2F">
                            <w:t xml:space="preserve"> 2025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F8C58C" id="_x0000_t202" coordsize="21600,21600" o:spt="202" path="m,l,21600r21600,l21600,xe">
              <v:stroke joinstyle="miter"/>
              <v:path gradientshapeok="t" o:connecttype="rect"/>
            </v:shapetype>
            <v:shape id="Text Box 658330485" o:spid="_x0000_s1026" type="#_x0000_t202" alt="IN-CONFIDENCE" style="position:absolute;margin-left:483.9pt;margin-top:12.55pt;width:34.95pt;height:30.05pt;z-index:251693056;visibility:visible;mso-wrap-style:non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" filled="f" stroked="f">
              <v:textbox inset="0,0,0,0">
                <w:txbxContent>
                  <w:p w14:paraId="389E1993" w14:textId="39CC3085" w:rsidR="00411F2F" w:rsidRPr="00643C1B" w:rsidRDefault="00F66E9E" w:rsidP="00411F2F">
                    <w:pPr>
                      <w:pStyle w:val="Pagedetails"/>
                    </w:pPr>
                    <w:r>
                      <w:t>May</w:t>
                    </w:r>
                    <w:r w:rsidR="00411F2F">
                      <w:t xml:space="preserve"> 2025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7A5FD8">
      <w:rPr>
        <w:noProof/>
      </w:rPr>
      <w:drawing>
        <wp:anchor distT="0" distB="0" distL="114300" distR="114300" simplePos="0" relativeHeight="251705344" behindDoc="1" locked="0" layoutInCell="1" allowOverlap="1" wp14:anchorId="002C1D9F" wp14:editId="64D79E2C">
          <wp:simplePos x="0" y="0"/>
          <wp:positionH relativeFrom="margin">
            <wp:posOffset>-430026</wp:posOffset>
          </wp:positionH>
          <wp:positionV relativeFrom="paragraph">
            <wp:posOffset>-103374</wp:posOffset>
          </wp:positionV>
          <wp:extent cx="7349490" cy="10233660"/>
          <wp:effectExtent l="0" t="0" r="3810" b="0"/>
          <wp:wrapNone/>
          <wp:docPr id="90704346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704346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1" b="761"/>
                  <a:stretch>
                    <a:fillRect/>
                  </a:stretch>
                </pic:blipFill>
                <pic:spPr bwMode="auto">
                  <a:xfrm>
                    <a:off x="0" y="0"/>
                    <a:ext cx="7349490" cy="10233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4F3C">
      <w:rPr>
        <w:noProof/>
      </w:rPr>
      <mc:AlternateContent>
        <mc:Choice Requires="wps">
          <w:drawing>
            <wp:anchor distT="0" distB="0" distL="0" distR="0" simplePos="0" relativeHeight="251694080" behindDoc="0" locked="0" layoutInCell="1" allowOverlap="1" wp14:anchorId="4912CAB9" wp14:editId="29989CFD">
              <wp:simplePos x="0" y="0"/>
              <wp:positionH relativeFrom="margin">
                <wp:posOffset>-225897</wp:posOffset>
              </wp:positionH>
              <wp:positionV relativeFrom="page">
                <wp:posOffset>140970</wp:posOffset>
              </wp:positionV>
              <wp:extent cx="443865" cy="380365"/>
              <wp:effectExtent l="0" t="0" r="15875" b="635"/>
              <wp:wrapNone/>
              <wp:docPr id="1306166167" name="Text Box 1306166167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380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47E310" w14:textId="1C2FD5C0" w:rsidR="00411F2F" w:rsidRPr="00643C1B" w:rsidRDefault="00E31A99" w:rsidP="00411F2F">
                          <w:pPr>
                            <w:pStyle w:val="Pagedetails"/>
                          </w:pPr>
                          <w:r>
                            <w:t>Fact sheet: NASC and EGL site budgets – 2025/26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12CAB9" id="Text Box 1306166167" o:spid="_x0000_s1027" type="#_x0000_t202" alt="IN-CONFIDENCE" style="position:absolute;margin-left:-17.8pt;margin-top:11.1pt;width:34.95pt;height:29.95pt;z-index:251694080;visibility:visible;mso-wrap-style:non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" filled="f" stroked="f">
              <v:textbox inset="0,0,0,0">
                <w:txbxContent>
                  <w:p w14:paraId="2447E310" w14:textId="1C2FD5C0" w:rsidR="00411F2F" w:rsidRPr="00643C1B" w:rsidRDefault="00E31A99" w:rsidP="00411F2F">
                    <w:pPr>
                      <w:pStyle w:val="Pagedetails"/>
                    </w:pPr>
                    <w:r>
                      <w:t>Fact sheet: NASC and EGL site budgets – 2025/26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BF7208">
      <w:tab/>
    </w:r>
    <w:r w:rsidR="00302C91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CA4C4" w14:textId="3B0301C8" w:rsidR="00643C1B" w:rsidRDefault="00F66E9E" w:rsidP="003B5DF6">
    <w:pPr>
      <w:pStyle w:val="Header"/>
      <w:tabs>
        <w:tab w:val="clear" w:pos="4513"/>
        <w:tab w:val="clear" w:pos="9026"/>
        <w:tab w:val="left" w:pos="2582"/>
        <w:tab w:val="left" w:pos="5785"/>
        <w:tab w:val="left" w:pos="6455"/>
        <w:tab w:val="right" w:pos="10204"/>
      </w:tabs>
    </w:pPr>
    <w:r>
      <w:rPr>
        <w:noProof/>
      </w:rPr>
      <mc:AlternateContent>
        <mc:Choice Requires="wps">
          <w:drawing>
            <wp:anchor distT="0" distB="0" distL="0" distR="0" simplePos="0" relativeHeight="251709440" behindDoc="0" locked="0" layoutInCell="1" allowOverlap="1" wp14:anchorId="190ACF55" wp14:editId="1A7AD6E9">
              <wp:simplePos x="0" y="0"/>
              <wp:positionH relativeFrom="margin">
                <wp:posOffset>6160191</wp:posOffset>
              </wp:positionH>
              <wp:positionV relativeFrom="page">
                <wp:posOffset>147320</wp:posOffset>
              </wp:positionV>
              <wp:extent cx="443865" cy="381635"/>
              <wp:effectExtent l="0" t="0" r="10160" b="18415"/>
              <wp:wrapNone/>
              <wp:docPr id="759833324" name="Text Box 759833324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7DA9B" w14:textId="5AF2A555" w:rsidR="005B4F3C" w:rsidRPr="00643C1B" w:rsidRDefault="00F66E9E" w:rsidP="005B4F3C">
                          <w:pPr>
                            <w:pStyle w:val="Pagedetails"/>
                          </w:pPr>
                          <w:r>
                            <w:t>May</w:t>
                          </w:r>
                          <w:r w:rsidR="005B4F3C">
                            <w:t xml:space="preserve"> 2025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0ACF55" id="_x0000_t202" coordsize="21600,21600" o:spt="202" path="m,l,21600r21600,l21600,xe">
              <v:stroke joinstyle="miter"/>
              <v:path gradientshapeok="t" o:connecttype="rect"/>
            </v:shapetype>
            <v:shape id="Text Box 759833324" o:spid="_x0000_s1028" type="#_x0000_t202" alt="IN-CONFIDENCE" style="position:absolute;margin-left:485.05pt;margin-top:11.6pt;width:34.95pt;height:30.05pt;z-index:251709440;visibility:visible;mso-wrap-style:non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" filled="f" stroked="f">
              <v:textbox inset="0,0,0,0">
                <w:txbxContent>
                  <w:p w14:paraId="2407DA9B" w14:textId="5AF2A555" w:rsidR="005B4F3C" w:rsidRPr="00643C1B" w:rsidRDefault="00F66E9E" w:rsidP="005B4F3C">
                    <w:pPr>
                      <w:pStyle w:val="Pagedetails"/>
                    </w:pPr>
                    <w:r>
                      <w:t>May</w:t>
                    </w:r>
                    <w:r w:rsidR="005B4F3C">
                      <w:t xml:space="preserve"> 2025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037BD8">
      <w:rPr>
        <w:noProof/>
      </w:rPr>
      <w:drawing>
        <wp:anchor distT="0" distB="0" distL="114300" distR="114300" simplePos="0" relativeHeight="251711488" behindDoc="1" locked="0" layoutInCell="1" allowOverlap="1" wp14:anchorId="2F0EAA7B" wp14:editId="7B806B72">
          <wp:simplePos x="0" y="0"/>
          <wp:positionH relativeFrom="margin">
            <wp:posOffset>-430026</wp:posOffset>
          </wp:positionH>
          <wp:positionV relativeFrom="paragraph">
            <wp:posOffset>-87608</wp:posOffset>
          </wp:positionV>
          <wp:extent cx="7349490" cy="10233660"/>
          <wp:effectExtent l="0" t="0" r="3810" b="0"/>
          <wp:wrapNone/>
          <wp:docPr id="123406465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4064659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1" b="761"/>
                  <a:stretch>
                    <a:fillRect/>
                  </a:stretch>
                </pic:blipFill>
                <pic:spPr bwMode="auto">
                  <a:xfrm>
                    <a:off x="0" y="0"/>
                    <a:ext cx="7349490" cy="10233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4F3C">
      <w:rPr>
        <w:noProof/>
      </w:rPr>
      <mc:AlternateContent>
        <mc:Choice Requires="wps">
          <w:drawing>
            <wp:anchor distT="0" distB="0" distL="0" distR="0" simplePos="0" relativeHeight="251710464" behindDoc="0" locked="0" layoutInCell="1" allowOverlap="1" wp14:anchorId="5080FDA2" wp14:editId="0868E81C">
              <wp:simplePos x="0" y="0"/>
              <wp:positionH relativeFrom="margin">
                <wp:posOffset>-217007</wp:posOffset>
              </wp:positionH>
              <wp:positionV relativeFrom="page">
                <wp:posOffset>140335</wp:posOffset>
              </wp:positionV>
              <wp:extent cx="443865" cy="380365"/>
              <wp:effectExtent l="0" t="0" r="15875" b="635"/>
              <wp:wrapNone/>
              <wp:docPr id="2124053967" name="Text Box 2124053967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380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5A3AC2" w14:textId="77777777" w:rsidR="005B4F3C" w:rsidRPr="00643C1B" w:rsidRDefault="005B4F3C" w:rsidP="005B4F3C">
                          <w:pPr>
                            <w:pStyle w:val="Pagedetails"/>
                          </w:pPr>
                          <w:r>
                            <w:t>Disability Support Services - Factsheet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80FDA2" id="Text Box 2124053967" o:spid="_x0000_s1029" type="#_x0000_t202" alt="IN-CONFIDENCE" style="position:absolute;margin-left:-17.1pt;margin-top:11.05pt;width:34.95pt;height:29.95pt;z-index:251710464;visibility:visible;mso-wrap-style:non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" filled="f" stroked="f">
              <v:textbox inset="0,0,0,0">
                <w:txbxContent>
                  <w:p w14:paraId="5C5A3AC2" w14:textId="77777777" w:rsidR="005B4F3C" w:rsidRPr="00643C1B" w:rsidRDefault="005B4F3C" w:rsidP="005B4F3C">
                    <w:pPr>
                      <w:pStyle w:val="Pagedetails"/>
                    </w:pPr>
                    <w:r>
                      <w:t>Disability Support Services - Factsheet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7A5FD8">
      <w:tab/>
    </w:r>
    <w:r w:rsidR="00302C91">
      <w:tab/>
    </w:r>
    <w:r w:rsidR="006C2AC5">
      <w:tab/>
    </w:r>
    <w:r w:rsidR="003B5DF6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3469" w14:textId="40C9A35B" w:rsidR="00643C1B" w:rsidRDefault="007A5FD8">
    <w:pPr>
      <w:pStyle w:val="Header"/>
    </w:pPr>
    <w:r>
      <w:rPr>
        <w:noProof/>
      </w:rPr>
      <w:drawing>
        <wp:anchor distT="0" distB="0" distL="114300" distR="114300" simplePos="0" relativeHeight="251712512" behindDoc="1" locked="0" layoutInCell="1" allowOverlap="1" wp14:anchorId="66223A2C" wp14:editId="36449BDA">
          <wp:simplePos x="0" y="0"/>
          <wp:positionH relativeFrom="margin">
            <wp:posOffset>-459362</wp:posOffset>
          </wp:positionH>
          <wp:positionV relativeFrom="paragraph">
            <wp:posOffset>-195572</wp:posOffset>
          </wp:positionV>
          <wp:extent cx="7346950" cy="2332299"/>
          <wp:effectExtent l="0" t="0" r="6350" b="0"/>
          <wp:wrapNone/>
          <wp:docPr id="17681103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110306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" r="109" b="77588"/>
                  <a:stretch/>
                </pic:blipFill>
                <pic:spPr bwMode="auto">
                  <a:xfrm>
                    <a:off x="0" y="0"/>
                    <a:ext cx="7346971" cy="23323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12AAB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1AAED50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99768D"/>
    <w:multiLevelType w:val="hybridMultilevel"/>
    <w:tmpl w:val="A6FA73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60A34"/>
    <w:multiLevelType w:val="hybridMultilevel"/>
    <w:tmpl w:val="A058D58C"/>
    <w:lvl w:ilvl="0" w:tplc="14090003">
      <w:start w:val="1"/>
      <w:numFmt w:val="bullet"/>
      <w:pStyle w:val="Bullet2"/>
      <w:lvlText w:val="o"/>
      <w:lvlJc w:val="left"/>
      <w:pPr>
        <w:tabs>
          <w:tab w:val="num" w:pos="797"/>
        </w:tabs>
        <w:ind w:left="797" w:hanging="360"/>
      </w:pPr>
      <w:rPr>
        <w:rFonts w:ascii="Courier New" w:hAnsi="Courier New" w:cs="Courier New" w:hint="default"/>
      </w:rPr>
    </w:lvl>
    <w:lvl w:ilvl="1" w:tplc="DB98F82E">
      <w:start w:val="1"/>
      <w:numFmt w:val="bullet"/>
      <w:pStyle w:val="Bullet3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D00F0"/>
    <w:multiLevelType w:val="hybridMultilevel"/>
    <w:tmpl w:val="FD14923A"/>
    <w:lvl w:ilvl="0" w:tplc="3D9A9072">
      <w:start w:val="1"/>
      <w:numFmt w:val="bullet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FE2475A"/>
    <w:multiLevelType w:val="hybridMultilevel"/>
    <w:tmpl w:val="6248C8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517F1"/>
    <w:multiLevelType w:val="hybridMultilevel"/>
    <w:tmpl w:val="71F8C790"/>
    <w:lvl w:ilvl="0" w:tplc="5CBE4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EABD9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942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FC3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3E5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C0B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C7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8AF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28C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6B51B9D"/>
    <w:multiLevelType w:val="hybridMultilevel"/>
    <w:tmpl w:val="0584EDC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BBD05C5"/>
    <w:multiLevelType w:val="hybridMultilevel"/>
    <w:tmpl w:val="0462A1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216AC"/>
    <w:multiLevelType w:val="hybridMultilevel"/>
    <w:tmpl w:val="D1C063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D597C"/>
    <w:multiLevelType w:val="multilevel"/>
    <w:tmpl w:val="87C6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14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1C4174"/>
    <w:multiLevelType w:val="hybridMultilevel"/>
    <w:tmpl w:val="A482AE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25B79"/>
    <w:multiLevelType w:val="multilevel"/>
    <w:tmpl w:val="D8F2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ED2AF8"/>
    <w:multiLevelType w:val="hybridMultilevel"/>
    <w:tmpl w:val="EEDAAD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250FF4"/>
    <w:multiLevelType w:val="hybridMultilevel"/>
    <w:tmpl w:val="E73A61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996AEE"/>
    <w:multiLevelType w:val="hybridMultilevel"/>
    <w:tmpl w:val="F7D2EF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92E5E"/>
    <w:multiLevelType w:val="hybridMultilevel"/>
    <w:tmpl w:val="1D7ECA2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54CF2"/>
    <w:multiLevelType w:val="hybridMultilevel"/>
    <w:tmpl w:val="28047A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0D1CC7"/>
    <w:multiLevelType w:val="multilevel"/>
    <w:tmpl w:val="62561004"/>
    <w:styleLink w:val="CurrentList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038072">
    <w:abstractNumId w:val="9"/>
  </w:num>
  <w:num w:numId="2" w16cid:durableId="10913148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49745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8631104">
    <w:abstractNumId w:val="5"/>
  </w:num>
  <w:num w:numId="5" w16cid:durableId="42875152">
    <w:abstractNumId w:val="1"/>
  </w:num>
  <w:num w:numId="6" w16cid:durableId="988707013">
    <w:abstractNumId w:val="0"/>
  </w:num>
  <w:num w:numId="7" w16cid:durableId="185602780">
    <w:abstractNumId w:val="14"/>
  </w:num>
  <w:num w:numId="8" w16cid:durableId="147221568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606589">
    <w:abstractNumId w:val="1"/>
  </w:num>
  <w:num w:numId="10" w16cid:durableId="1535078731">
    <w:abstractNumId w:val="4"/>
  </w:num>
  <w:num w:numId="11" w16cid:durableId="645007926">
    <w:abstractNumId w:val="15"/>
  </w:num>
  <w:num w:numId="12" w16cid:durableId="1287853512">
    <w:abstractNumId w:val="3"/>
  </w:num>
  <w:num w:numId="13" w16cid:durableId="1105729138">
    <w:abstractNumId w:val="22"/>
  </w:num>
  <w:num w:numId="14" w16cid:durableId="778572090">
    <w:abstractNumId w:val="20"/>
  </w:num>
  <w:num w:numId="15" w16cid:durableId="1178303107">
    <w:abstractNumId w:val="7"/>
  </w:num>
  <w:num w:numId="16" w16cid:durableId="162012599">
    <w:abstractNumId w:val="6"/>
  </w:num>
  <w:num w:numId="17" w16cid:durableId="275988926">
    <w:abstractNumId w:val="16"/>
  </w:num>
  <w:num w:numId="18" w16cid:durableId="1765147164">
    <w:abstractNumId w:val="2"/>
  </w:num>
  <w:num w:numId="19" w16cid:durableId="1239486206">
    <w:abstractNumId w:val="12"/>
  </w:num>
  <w:num w:numId="20" w16cid:durableId="688066374">
    <w:abstractNumId w:val="17"/>
  </w:num>
  <w:num w:numId="21" w16cid:durableId="2066636548">
    <w:abstractNumId w:val="18"/>
  </w:num>
  <w:num w:numId="22" w16cid:durableId="1772311090">
    <w:abstractNumId w:val="21"/>
  </w:num>
  <w:num w:numId="23" w16cid:durableId="395276128">
    <w:abstractNumId w:val="19"/>
  </w:num>
  <w:num w:numId="24" w16cid:durableId="1402875537">
    <w:abstractNumId w:val="10"/>
  </w:num>
  <w:num w:numId="25" w16cid:durableId="969625763">
    <w:abstractNumId w:val="11"/>
  </w:num>
  <w:num w:numId="26" w16cid:durableId="869716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CA"/>
    <w:rsid w:val="00000B4C"/>
    <w:rsid w:val="000052C1"/>
    <w:rsid w:val="000106D0"/>
    <w:rsid w:val="000130D7"/>
    <w:rsid w:val="00017A53"/>
    <w:rsid w:val="00022DAD"/>
    <w:rsid w:val="00037BD8"/>
    <w:rsid w:val="00037CB0"/>
    <w:rsid w:val="0004240D"/>
    <w:rsid w:val="00046B29"/>
    <w:rsid w:val="00072106"/>
    <w:rsid w:val="000D4CE2"/>
    <w:rsid w:val="000E3BB9"/>
    <w:rsid w:val="00106AED"/>
    <w:rsid w:val="00121DA1"/>
    <w:rsid w:val="001308D6"/>
    <w:rsid w:val="00151526"/>
    <w:rsid w:val="00187357"/>
    <w:rsid w:val="00194085"/>
    <w:rsid w:val="001C5F13"/>
    <w:rsid w:val="001C74CA"/>
    <w:rsid w:val="001D1F28"/>
    <w:rsid w:val="001D3744"/>
    <w:rsid w:val="001D507A"/>
    <w:rsid w:val="001F084D"/>
    <w:rsid w:val="0020174E"/>
    <w:rsid w:val="00210B03"/>
    <w:rsid w:val="00213DA6"/>
    <w:rsid w:val="00216302"/>
    <w:rsid w:val="00216BA5"/>
    <w:rsid w:val="002304B5"/>
    <w:rsid w:val="00245A2B"/>
    <w:rsid w:val="00296B0F"/>
    <w:rsid w:val="002A4839"/>
    <w:rsid w:val="002B0645"/>
    <w:rsid w:val="002C25D2"/>
    <w:rsid w:val="002C5548"/>
    <w:rsid w:val="002D1C62"/>
    <w:rsid w:val="002E6786"/>
    <w:rsid w:val="00302C91"/>
    <w:rsid w:val="00312697"/>
    <w:rsid w:val="00314DB1"/>
    <w:rsid w:val="00315F5F"/>
    <w:rsid w:val="00317D0D"/>
    <w:rsid w:val="00323DD8"/>
    <w:rsid w:val="003472DE"/>
    <w:rsid w:val="00354EC2"/>
    <w:rsid w:val="00374879"/>
    <w:rsid w:val="003808D9"/>
    <w:rsid w:val="00392AFE"/>
    <w:rsid w:val="003B4E71"/>
    <w:rsid w:val="003B5DF6"/>
    <w:rsid w:val="003C3B31"/>
    <w:rsid w:val="003D402D"/>
    <w:rsid w:val="003E3302"/>
    <w:rsid w:val="00411F2F"/>
    <w:rsid w:val="00414E8A"/>
    <w:rsid w:val="004227ED"/>
    <w:rsid w:val="00445BCE"/>
    <w:rsid w:val="00452163"/>
    <w:rsid w:val="00454F25"/>
    <w:rsid w:val="00474273"/>
    <w:rsid w:val="00486F48"/>
    <w:rsid w:val="004C0AC6"/>
    <w:rsid w:val="004E1C12"/>
    <w:rsid w:val="004F35F4"/>
    <w:rsid w:val="005011C3"/>
    <w:rsid w:val="00503E65"/>
    <w:rsid w:val="00533E65"/>
    <w:rsid w:val="0054019A"/>
    <w:rsid w:val="00541DA4"/>
    <w:rsid w:val="0056681E"/>
    <w:rsid w:val="00570817"/>
    <w:rsid w:val="00572AA9"/>
    <w:rsid w:val="00573C0A"/>
    <w:rsid w:val="00584F02"/>
    <w:rsid w:val="00595906"/>
    <w:rsid w:val="005A098E"/>
    <w:rsid w:val="005B11F9"/>
    <w:rsid w:val="005B1C12"/>
    <w:rsid w:val="005B3EB7"/>
    <w:rsid w:val="005B4F3C"/>
    <w:rsid w:val="005C7E68"/>
    <w:rsid w:val="005E71D1"/>
    <w:rsid w:val="005F772F"/>
    <w:rsid w:val="006029BD"/>
    <w:rsid w:val="006207F6"/>
    <w:rsid w:val="00631D73"/>
    <w:rsid w:val="0063448D"/>
    <w:rsid w:val="0063502A"/>
    <w:rsid w:val="006419D3"/>
    <w:rsid w:val="00642B36"/>
    <w:rsid w:val="00643C1B"/>
    <w:rsid w:val="0066419D"/>
    <w:rsid w:val="006675CB"/>
    <w:rsid w:val="006A39FA"/>
    <w:rsid w:val="006B2D78"/>
    <w:rsid w:val="006C2AC5"/>
    <w:rsid w:val="006C5072"/>
    <w:rsid w:val="006F3AB6"/>
    <w:rsid w:val="006F7354"/>
    <w:rsid w:val="0070040B"/>
    <w:rsid w:val="00706C68"/>
    <w:rsid w:val="00710AC5"/>
    <w:rsid w:val="0071459C"/>
    <w:rsid w:val="00733387"/>
    <w:rsid w:val="0075020F"/>
    <w:rsid w:val="007525AF"/>
    <w:rsid w:val="00761D75"/>
    <w:rsid w:val="007814CC"/>
    <w:rsid w:val="00796BBF"/>
    <w:rsid w:val="007A04C9"/>
    <w:rsid w:val="007A5FD8"/>
    <w:rsid w:val="007B201A"/>
    <w:rsid w:val="0080498F"/>
    <w:rsid w:val="00820BA6"/>
    <w:rsid w:val="00821A10"/>
    <w:rsid w:val="00827615"/>
    <w:rsid w:val="008311E8"/>
    <w:rsid w:val="0085194C"/>
    <w:rsid w:val="00860654"/>
    <w:rsid w:val="00860CA0"/>
    <w:rsid w:val="0089060C"/>
    <w:rsid w:val="00896626"/>
    <w:rsid w:val="008C1671"/>
    <w:rsid w:val="008C4B1D"/>
    <w:rsid w:val="008D695D"/>
    <w:rsid w:val="008E17CD"/>
    <w:rsid w:val="008E22FB"/>
    <w:rsid w:val="008F5E31"/>
    <w:rsid w:val="008F70CB"/>
    <w:rsid w:val="009030FD"/>
    <w:rsid w:val="00903467"/>
    <w:rsid w:val="00906EAA"/>
    <w:rsid w:val="00911280"/>
    <w:rsid w:val="009551AD"/>
    <w:rsid w:val="00956B4C"/>
    <w:rsid w:val="00961515"/>
    <w:rsid w:val="00964FD8"/>
    <w:rsid w:val="00970DD2"/>
    <w:rsid w:val="00980756"/>
    <w:rsid w:val="00981737"/>
    <w:rsid w:val="00984549"/>
    <w:rsid w:val="009A20A0"/>
    <w:rsid w:val="009B175A"/>
    <w:rsid w:val="009B6C8C"/>
    <w:rsid w:val="009B7419"/>
    <w:rsid w:val="009C7FED"/>
    <w:rsid w:val="009D15F1"/>
    <w:rsid w:val="009D2B10"/>
    <w:rsid w:val="009E20F2"/>
    <w:rsid w:val="009E2D81"/>
    <w:rsid w:val="009E3D6F"/>
    <w:rsid w:val="009F3857"/>
    <w:rsid w:val="009F58BC"/>
    <w:rsid w:val="00A017E9"/>
    <w:rsid w:val="00A13189"/>
    <w:rsid w:val="00A16CAD"/>
    <w:rsid w:val="00A3265D"/>
    <w:rsid w:val="00A339FA"/>
    <w:rsid w:val="00A35350"/>
    <w:rsid w:val="00A37207"/>
    <w:rsid w:val="00A43896"/>
    <w:rsid w:val="00A53872"/>
    <w:rsid w:val="00A56424"/>
    <w:rsid w:val="00A6244E"/>
    <w:rsid w:val="00A95FE8"/>
    <w:rsid w:val="00A97F5D"/>
    <w:rsid w:val="00AD7ABD"/>
    <w:rsid w:val="00AE22A9"/>
    <w:rsid w:val="00AF4301"/>
    <w:rsid w:val="00B0242D"/>
    <w:rsid w:val="00B05301"/>
    <w:rsid w:val="00B06461"/>
    <w:rsid w:val="00B16010"/>
    <w:rsid w:val="00B3270D"/>
    <w:rsid w:val="00B41635"/>
    <w:rsid w:val="00B45531"/>
    <w:rsid w:val="00B45E4A"/>
    <w:rsid w:val="00B50C3C"/>
    <w:rsid w:val="00B5357A"/>
    <w:rsid w:val="00B55614"/>
    <w:rsid w:val="00B70DC7"/>
    <w:rsid w:val="00B812CC"/>
    <w:rsid w:val="00B819B5"/>
    <w:rsid w:val="00BA1BB2"/>
    <w:rsid w:val="00BB53E5"/>
    <w:rsid w:val="00BF6828"/>
    <w:rsid w:val="00BF7208"/>
    <w:rsid w:val="00BF7F79"/>
    <w:rsid w:val="00C11837"/>
    <w:rsid w:val="00C13B53"/>
    <w:rsid w:val="00C22902"/>
    <w:rsid w:val="00C24EE2"/>
    <w:rsid w:val="00C32537"/>
    <w:rsid w:val="00C5215F"/>
    <w:rsid w:val="00C67C42"/>
    <w:rsid w:val="00C93D10"/>
    <w:rsid w:val="00C93F62"/>
    <w:rsid w:val="00CA2984"/>
    <w:rsid w:val="00CA2D82"/>
    <w:rsid w:val="00CA5164"/>
    <w:rsid w:val="00CB0251"/>
    <w:rsid w:val="00CB496C"/>
    <w:rsid w:val="00CB4A28"/>
    <w:rsid w:val="00CE0551"/>
    <w:rsid w:val="00CF09EA"/>
    <w:rsid w:val="00CF6530"/>
    <w:rsid w:val="00D0234C"/>
    <w:rsid w:val="00D03B33"/>
    <w:rsid w:val="00D21FBC"/>
    <w:rsid w:val="00D261EC"/>
    <w:rsid w:val="00D31036"/>
    <w:rsid w:val="00D320DE"/>
    <w:rsid w:val="00D34EA0"/>
    <w:rsid w:val="00D46FB9"/>
    <w:rsid w:val="00D62EA3"/>
    <w:rsid w:val="00D66D32"/>
    <w:rsid w:val="00D716CE"/>
    <w:rsid w:val="00D8664E"/>
    <w:rsid w:val="00D96746"/>
    <w:rsid w:val="00D96D3A"/>
    <w:rsid w:val="00D96EC5"/>
    <w:rsid w:val="00DA1256"/>
    <w:rsid w:val="00DB01CC"/>
    <w:rsid w:val="00DB01FC"/>
    <w:rsid w:val="00DC30ED"/>
    <w:rsid w:val="00DC7E96"/>
    <w:rsid w:val="00DD0529"/>
    <w:rsid w:val="00DD7526"/>
    <w:rsid w:val="00E06F0D"/>
    <w:rsid w:val="00E23D71"/>
    <w:rsid w:val="00E31A99"/>
    <w:rsid w:val="00E45BB3"/>
    <w:rsid w:val="00E502E2"/>
    <w:rsid w:val="00E60F64"/>
    <w:rsid w:val="00E671C3"/>
    <w:rsid w:val="00E7638F"/>
    <w:rsid w:val="00E86180"/>
    <w:rsid w:val="00E90142"/>
    <w:rsid w:val="00E9269E"/>
    <w:rsid w:val="00EA75D0"/>
    <w:rsid w:val="00EB27CB"/>
    <w:rsid w:val="00EB2D7C"/>
    <w:rsid w:val="00EC2CE7"/>
    <w:rsid w:val="00EC5E0E"/>
    <w:rsid w:val="00ED3ACF"/>
    <w:rsid w:val="00F06EE8"/>
    <w:rsid w:val="00F07349"/>
    <w:rsid w:val="00F167CA"/>
    <w:rsid w:val="00F22AE5"/>
    <w:rsid w:val="00F433C6"/>
    <w:rsid w:val="00F55EE2"/>
    <w:rsid w:val="00F66E9E"/>
    <w:rsid w:val="00F926FD"/>
    <w:rsid w:val="00F92F6A"/>
    <w:rsid w:val="00F940E5"/>
    <w:rsid w:val="00FA02F2"/>
    <w:rsid w:val="00FF30B0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AB44A"/>
  <w15:docId w15:val="{1F709B82-8FBE-504A-8005-597D7C7F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locked="1" w:semiHidden="1" w:uiPriority="9" w:unhideWhenUsed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BBF"/>
    <w:pPr>
      <w:spacing w:after="120" w:line="264" w:lineRule="auto"/>
    </w:pPr>
    <w:rPr>
      <w:rFonts w:ascii="Roboto" w:hAnsi="Roboto" w:cs="Arial"/>
      <w:kern w:val="28"/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6D32"/>
    <w:pPr>
      <w:keepNext/>
      <w:keepLines/>
      <w:spacing w:line="192" w:lineRule="auto"/>
      <w:outlineLvl w:val="0"/>
    </w:pPr>
    <w:rPr>
      <w:rFonts w:eastAsiaTheme="majorEastAsia"/>
      <w:b/>
      <w:bCs/>
      <w:color w:val="000000" w:themeColor="text1"/>
      <w:kern w:val="0"/>
      <w:sz w:val="80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502E2"/>
    <w:pPr>
      <w:spacing w:before="240" w:after="240" w:line="216" w:lineRule="auto"/>
      <w:outlineLvl w:val="1"/>
    </w:pPr>
    <w:rPr>
      <w:b/>
      <w:color w:val="000000" w:themeColor="text1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7BD8"/>
    <w:pPr>
      <w:keepNext/>
      <w:keepLines/>
      <w:spacing w:before="280" w:after="200"/>
      <w:outlineLvl w:val="2"/>
    </w:pPr>
    <w:rPr>
      <w:rFonts w:eastAsiaTheme="majorEastAsia"/>
      <w:b/>
      <w:bCs/>
      <w:kern w:val="0"/>
      <w:sz w:val="30"/>
      <w:szCs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30ED"/>
    <w:pPr>
      <w:keepNext/>
      <w:keepLines/>
      <w:spacing w:before="240"/>
      <w:outlineLvl w:val="3"/>
    </w:pPr>
    <w:rPr>
      <w:rFonts w:eastAsiaTheme="majorEastAsia" w:cs="Times New Roman"/>
      <w:b/>
      <w:bCs/>
      <w:iCs/>
      <w:kern w:val="0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C30ED"/>
    <w:pPr>
      <w:keepNext/>
      <w:keepLines/>
      <w:spacing w:before="200"/>
      <w:outlineLvl w:val="4"/>
    </w:pPr>
    <w:rPr>
      <w:rFonts w:eastAsiaTheme="majorEastAsia" w:cstheme="majorBidi"/>
      <w:b/>
      <w:color w:val="000000" w:themeColor="text1"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DC30ED"/>
    <w:pPr>
      <w:keepNext/>
      <w:keepLines/>
      <w:spacing w:before="40" w:after="0"/>
      <w:outlineLvl w:val="5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66D32"/>
    <w:rPr>
      <w:rFonts w:ascii="Roboto" w:eastAsiaTheme="majorEastAsia" w:hAnsi="Roboto" w:cs="Arial"/>
      <w:b/>
      <w:bCs/>
      <w:color w:val="000000" w:themeColor="text1"/>
      <w:sz w:val="80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E502E2"/>
    <w:rPr>
      <w:rFonts w:ascii="Roboto" w:hAnsi="Roboto" w:cs="Arial"/>
      <w:b/>
      <w:color w:val="000000" w:themeColor="text1"/>
      <w:kern w:val="28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037BD8"/>
    <w:rPr>
      <w:rFonts w:ascii="Roboto" w:eastAsiaTheme="majorEastAsia" w:hAnsi="Roboto" w:cs="Arial"/>
      <w:b/>
      <w:bCs/>
      <w:sz w:val="30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9"/>
    <w:rsid w:val="00DC30ED"/>
    <w:rPr>
      <w:rFonts w:ascii="Verdana" w:eastAsiaTheme="majorEastAsia" w:hAnsi="Verdana"/>
      <w:b/>
      <w:bCs/>
      <w:iCs/>
      <w:sz w:val="32"/>
    </w:rPr>
  </w:style>
  <w:style w:type="paragraph" w:styleId="ListParagraph">
    <w:name w:val="List Paragraph"/>
    <w:basedOn w:val="Normal"/>
    <w:uiPriority w:val="34"/>
    <w:qFormat/>
    <w:rsid w:val="00F167CA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940E5"/>
    <w:pPr>
      <w:numPr>
        <w:numId w:val="4"/>
      </w:numPr>
      <w:spacing w:before="60"/>
      <w:ind w:left="454" w:hanging="454"/>
    </w:pPr>
  </w:style>
  <w:style w:type="paragraph" w:styleId="List2">
    <w:name w:val="List 2"/>
    <w:basedOn w:val="Normal"/>
    <w:uiPriority w:val="99"/>
    <w:rsid w:val="00F940E5"/>
    <w:pPr>
      <w:numPr>
        <w:ilvl w:val="1"/>
        <w:numId w:val="4"/>
      </w:numPr>
      <w:spacing w:before="60"/>
      <w:ind w:left="908" w:hanging="454"/>
    </w:pPr>
  </w:style>
  <w:style w:type="table" w:styleId="TableGrid">
    <w:name w:val="Table Grid"/>
    <w:basedOn w:val="TableNormal"/>
    <w:rsid w:val="001D374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ing1"/>
    <w:next w:val="Normal"/>
    <w:link w:val="TitleChar"/>
    <w:uiPriority w:val="99"/>
    <w:rsid w:val="001D507A"/>
    <w:rPr>
      <w:color w:val="FFFFFF" w:themeColor="background1"/>
    </w:rPr>
  </w:style>
  <w:style w:type="character" w:customStyle="1" w:styleId="TitleChar">
    <w:name w:val="Title Char"/>
    <w:basedOn w:val="DefaultParagraphFont"/>
    <w:link w:val="Title"/>
    <w:uiPriority w:val="99"/>
    <w:rsid w:val="001D507A"/>
    <w:rPr>
      <w:rFonts w:ascii="Georgia" w:eastAsiaTheme="majorEastAsia" w:hAnsi="Georgia" w:cs="Arial"/>
      <w:b/>
      <w:bCs/>
      <w:color w:val="FFFFFF" w:themeColor="background1"/>
      <w:sz w:val="40"/>
      <w:szCs w:val="28"/>
    </w:rPr>
  </w:style>
  <w:style w:type="character" w:styleId="SubtleEmphasis">
    <w:name w:val="Subtle Emphasis"/>
    <w:basedOn w:val="DefaultParagraphFont"/>
    <w:uiPriority w:val="99"/>
    <w:rsid w:val="00F940E5"/>
    <w:rPr>
      <w:rFonts w:ascii="Verdana Pro Semibold" w:hAnsi="Verdana Pro Semibold" w:cs="Times New Roman"/>
      <w:b w:val="0"/>
      <w:i w:val="0"/>
      <w:iCs/>
      <w:color w:val="auto"/>
      <w:sz w:val="20"/>
    </w:rPr>
  </w:style>
  <w:style w:type="paragraph" w:customStyle="1" w:styleId="Bullet1">
    <w:name w:val="Bullet1"/>
    <w:basedOn w:val="Normal"/>
    <w:autoRedefine/>
    <w:qFormat/>
    <w:rsid w:val="00D0234C"/>
    <w:pPr>
      <w:numPr>
        <w:numId w:val="9"/>
      </w:numPr>
      <w:tabs>
        <w:tab w:val="clear" w:pos="360"/>
      </w:tabs>
      <w:suppressAutoHyphens/>
      <w:autoSpaceDE w:val="0"/>
      <w:autoSpaceDN w:val="0"/>
      <w:adjustRightInd w:val="0"/>
      <w:spacing w:before="160" w:line="216" w:lineRule="auto"/>
      <w:ind w:left="454" w:hanging="284"/>
      <w:jc w:val="both"/>
      <w:textAlignment w:val="center"/>
    </w:pPr>
    <w:rPr>
      <w:rFonts w:eastAsia="Times New Roman"/>
      <w:color w:val="000000" w:themeColor="text1"/>
      <w:lang w:eastAsia="en-AU"/>
    </w:rPr>
  </w:style>
  <w:style w:type="paragraph" w:customStyle="1" w:styleId="Bullet2">
    <w:name w:val="Bullet2"/>
    <w:link w:val="Bullet2Char"/>
    <w:qFormat/>
    <w:rsid w:val="00984549"/>
    <w:pPr>
      <w:numPr>
        <w:numId w:val="12"/>
      </w:numPr>
      <w:spacing w:before="60" w:after="120" w:line="288" w:lineRule="auto"/>
    </w:pPr>
    <w:rPr>
      <w:rFonts w:ascii="Verdana" w:eastAsia="Times New Roman" w:hAnsi="Verdana"/>
      <w:sz w:val="22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DC30ED"/>
    <w:rPr>
      <w:rFonts w:ascii="Verdana" w:eastAsiaTheme="majorEastAsia" w:hAnsi="Verdana" w:cstheme="majorBidi"/>
      <w:b/>
      <w:color w:val="000000" w:themeColor="text1"/>
      <w:kern w:val="28"/>
      <w:sz w:val="28"/>
    </w:rPr>
  </w:style>
  <w:style w:type="character" w:styleId="Strong">
    <w:name w:val="Strong"/>
    <w:basedOn w:val="DefaultParagraphFont"/>
    <w:uiPriority w:val="22"/>
    <w:qFormat/>
    <w:rsid w:val="00F940E5"/>
    <w:rPr>
      <w:rFonts w:ascii="Verdana" w:hAnsi="Verdana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A017E9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F16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7CA"/>
    <w:rPr>
      <w:rFonts w:ascii="Tahoma" w:hAnsi="Tahoma" w:cs="Tahoma"/>
      <w:kern w:val="28"/>
      <w:sz w:val="16"/>
      <w:szCs w:val="16"/>
      <w:lang w:val="en-US"/>
    </w:rPr>
  </w:style>
  <w:style w:type="paragraph" w:styleId="TOC1">
    <w:name w:val="toc 1"/>
    <w:basedOn w:val="Normal"/>
    <w:next w:val="Normal"/>
    <w:autoRedefine/>
    <w:uiPriority w:val="39"/>
    <w:rsid w:val="00D96746"/>
    <w:pPr>
      <w:tabs>
        <w:tab w:val="right" w:leader="dot" w:pos="9016"/>
      </w:tabs>
      <w:spacing w:after="100"/>
    </w:pPr>
    <w:rPr>
      <w:b/>
      <w:noProof/>
    </w:rPr>
  </w:style>
  <w:style w:type="character" w:styleId="Hyperlink">
    <w:name w:val="Hyperlink"/>
    <w:basedOn w:val="DefaultParagraphFont"/>
    <w:unhideWhenUsed/>
    <w:rsid w:val="00EC2CE7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rsid w:val="0085194C"/>
    <w:pPr>
      <w:spacing w:after="100"/>
      <w:ind w:left="220"/>
    </w:pPr>
  </w:style>
  <w:style w:type="paragraph" w:styleId="Caption">
    <w:name w:val="caption"/>
    <w:basedOn w:val="Normal"/>
    <w:next w:val="Normal"/>
    <w:uiPriority w:val="35"/>
    <w:unhideWhenUsed/>
    <w:qFormat/>
    <w:locked/>
    <w:rsid w:val="00A37207"/>
    <w:pPr>
      <w:spacing w:after="200" w:line="240" w:lineRule="auto"/>
    </w:pPr>
    <w:rPr>
      <w:b/>
      <w:bCs/>
      <w:color w:val="2C602F"/>
      <w:szCs w:val="18"/>
    </w:rPr>
  </w:style>
  <w:style w:type="paragraph" w:styleId="TableofFigures">
    <w:name w:val="table of figures"/>
    <w:basedOn w:val="Normal"/>
    <w:next w:val="Normal"/>
    <w:uiPriority w:val="99"/>
    <w:rsid w:val="00414E8A"/>
    <w:pPr>
      <w:spacing w:after="0"/>
    </w:pPr>
  </w:style>
  <w:style w:type="paragraph" w:styleId="TOC3">
    <w:name w:val="toc 3"/>
    <w:basedOn w:val="Normal"/>
    <w:next w:val="Normal"/>
    <w:autoRedefine/>
    <w:uiPriority w:val="39"/>
    <w:rsid w:val="001D507A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semiHidden/>
    <w:rsid w:val="00312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2697"/>
    <w:rPr>
      <w:rFonts w:ascii="Verdana" w:hAnsi="Verdana" w:cs="Arial"/>
      <w:kern w:val="28"/>
      <w:sz w:val="22"/>
      <w:lang w:val="en-US"/>
    </w:rPr>
  </w:style>
  <w:style w:type="paragraph" w:styleId="Footer">
    <w:name w:val="footer"/>
    <w:basedOn w:val="Normal"/>
    <w:link w:val="FooterChar"/>
    <w:uiPriority w:val="99"/>
    <w:semiHidden/>
    <w:rsid w:val="00312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2697"/>
    <w:rPr>
      <w:rFonts w:ascii="Verdana" w:hAnsi="Verdana" w:cs="Arial"/>
      <w:kern w:val="28"/>
      <w:sz w:val="22"/>
      <w:lang w:val="en-US"/>
    </w:rPr>
  </w:style>
  <w:style w:type="paragraph" w:customStyle="1" w:styleId="Report">
    <w:name w:val="Report"/>
    <w:basedOn w:val="Normal"/>
    <w:qFormat/>
    <w:rsid w:val="00A017E9"/>
    <w:pPr>
      <w:spacing w:before="6960" w:after="0" w:line="960" w:lineRule="exact"/>
      <w:ind w:right="-1440"/>
    </w:pPr>
    <w:rPr>
      <w:rFonts w:ascii="Verdana Pro Semibold" w:hAnsi="Verdana Pro Semibold"/>
      <w:noProof/>
      <w:color w:val="FFFFFF" w:themeColor="background1"/>
      <w:sz w:val="96"/>
      <w:lang w:eastAsia="en-NZ"/>
    </w:rPr>
  </w:style>
  <w:style w:type="paragraph" w:customStyle="1" w:styleId="Report2">
    <w:name w:val="Report2"/>
    <w:qFormat/>
    <w:rsid w:val="00A017E9"/>
    <w:pPr>
      <w:spacing w:before="240"/>
    </w:pPr>
    <w:rPr>
      <w:rFonts w:ascii="Verdana Pro Semibold" w:hAnsi="Verdana Pro Semibold" w:cs="Arial"/>
      <w:color w:val="FFFFFF" w:themeColor="background1"/>
      <w:kern w:val="28"/>
      <w:sz w:val="40"/>
      <w:szCs w:val="40"/>
      <w:lang w:val="en-US"/>
    </w:rPr>
  </w:style>
  <w:style w:type="paragraph" w:customStyle="1" w:styleId="Info1">
    <w:name w:val="Info1"/>
    <w:basedOn w:val="Normal"/>
    <w:qFormat/>
    <w:rsid w:val="00F940E5"/>
    <w:pPr>
      <w:spacing w:before="9000"/>
    </w:pPr>
    <w:rPr>
      <w:rFonts w:ascii="Verdana Pro Semibold" w:hAnsi="Verdana Pro Semibold"/>
    </w:rPr>
  </w:style>
  <w:style w:type="paragraph" w:customStyle="1" w:styleId="InfoBody">
    <w:name w:val="Info Body"/>
    <w:basedOn w:val="Normal"/>
    <w:qFormat/>
    <w:rsid w:val="00F940E5"/>
    <w:pPr>
      <w:spacing w:before="60"/>
    </w:pPr>
  </w:style>
  <w:style w:type="paragraph" w:customStyle="1" w:styleId="Info2">
    <w:name w:val="Info2"/>
    <w:basedOn w:val="Normal"/>
    <w:qFormat/>
    <w:rsid w:val="00A017E9"/>
    <w:rPr>
      <w:rFonts w:ascii="Verdana Pro Semibold" w:hAnsi="Verdana Pro Semibold"/>
    </w:rPr>
  </w:style>
  <w:style w:type="numbering" w:customStyle="1" w:styleId="CurrentList1">
    <w:name w:val="Current List1"/>
    <w:uiPriority w:val="99"/>
    <w:rsid w:val="00A017E9"/>
    <w:pPr>
      <w:numPr>
        <w:numId w:val="13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D46FB9"/>
    <w:pPr>
      <w:spacing w:before="200" w:after="160"/>
      <w:ind w:left="864" w:right="864"/>
    </w:pPr>
    <w:rPr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6FB9"/>
    <w:rPr>
      <w:rFonts w:ascii="Verdana" w:hAnsi="Verdana" w:cs="Arial"/>
      <w:iCs/>
      <w:color w:val="404040" w:themeColor="text1" w:themeTint="BF"/>
      <w:kern w:val="28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C30ED"/>
    <w:rPr>
      <w:rFonts w:ascii="Verdana" w:eastAsiaTheme="majorEastAsia" w:hAnsi="Verdana" w:cstheme="majorBidi"/>
      <w:b/>
      <w:color w:val="000000" w:themeColor="text1"/>
      <w:kern w:val="28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86180"/>
    <w:rPr>
      <w:color w:val="605E5C"/>
      <w:shd w:val="clear" w:color="auto" w:fill="E1DFDD"/>
    </w:rPr>
  </w:style>
  <w:style w:type="paragraph" w:customStyle="1" w:styleId="Bullet3">
    <w:name w:val="Bullet 3"/>
    <w:basedOn w:val="Bullet2"/>
    <w:link w:val="Bullet3Char"/>
    <w:qFormat/>
    <w:rsid w:val="00A339FA"/>
    <w:pPr>
      <w:numPr>
        <w:ilvl w:val="1"/>
      </w:numPr>
    </w:pPr>
    <w:rPr>
      <w:szCs w:val="22"/>
    </w:rPr>
  </w:style>
  <w:style w:type="character" w:customStyle="1" w:styleId="Bullet2Char">
    <w:name w:val="Bullet2 Char"/>
    <w:basedOn w:val="DefaultParagraphFont"/>
    <w:link w:val="Bullet2"/>
    <w:rsid w:val="00A339FA"/>
    <w:rPr>
      <w:rFonts w:ascii="Verdana" w:eastAsia="Times New Roman" w:hAnsi="Verdana"/>
      <w:sz w:val="22"/>
      <w:lang w:eastAsia="en-AU"/>
    </w:rPr>
  </w:style>
  <w:style w:type="character" w:customStyle="1" w:styleId="Bullet3Char">
    <w:name w:val="Bullet 3 Char"/>
    <w:basedOn w:val="Bullet2Char"/>
    <w:link w:val="Bullet3"/>
    <w:rsid w:val="00A339FA"/>
    <w:rPr>
      <w:rFonts w:ascii="Verdana" w:eastAsia="Times New Roman" w:hAnsi="Verdana"/>
      <w:sz w:val="22"/>
      <w:szCs w:val="22"/>
      <w:lang w:eastAsia="en-AU"/>
    </w:rPr>
  </w:style>
  <w:style w:type="paragraph" w:styleId="Revision">
    <w:name w:val="Revision"/>
    <w:hidden/>
    <w:uiPriority w:val="99"/>
    <w:semiHidden/>
    <w:rsid w:val="009F58BC"/>
    <w:rPr>
      <w:rFonts w:ascii="Verdana" w:hAnsi="Verdana" w:cs="Arial"/>
      <w:kern w:val="28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344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448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448D"/>
    <w:rPr>
      <w:rFonts w:ascii="Verdana" w:hAnsi="Verdana" w:cs="Arial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48D"/>
    <w:rPr>
      <w:rFonts w:ascii="Verdana" w:hAnsi="Verdana" w:cs="Arial"/>
      <w:b/>
      <w:bCs/>
      <w:kern w:val="28"/>
    </w:rPr>
  </w:style>
  <w:style w:type="paragraph" w:customStyle="1" w:styleId="Pagedetails">
    <w:name w:val="Page details"/>
    <w:basedOn w:val="Header"/>
    <w:link w:val="PagedetailsChar"/>
    <w:qFormat/>
    <w:rsid w:val="00411F2F"/>
    <w:rPr>
      <w:noProof/>
      <w:sz w:val="20"/>
    </w:rPr>
  </w:style>
  <w:style w:type="character" w:customStyle="1" w:styleId="PagedetailsChar">
    <w:name w:val="Page details Char"/>
    <w:basedOn w:val="HeaderChar"/>
    <w:link w:val="Pagedetails"/>
    <w:rsid w:val="00411F2F"/>
    <w:rPr>
      <w:rFonts w:ascii="Roboto" w:hAnsi="Roboto" w:cs="Arial"/>
      <w:noProof/>
      <w:kern w:val="28"/>
      <w:sz w:val="22"/>
      <w:lang w:val="en-US"/>
    </w:rPr>
  </w:style>
  <w:style w:type="character" w:styleId="Emphasis">
    <w:name w:val="Emphasis"/>
    <w:basedOn w:val="DefaultParagraphFont"/>
    <w:uiPriority w:val="20"/>
    <w:qFormat/>
    <w:locked/>
    <w:rsid w:val="008E17CD"/>
    <w:rPr>
      <w:rFonts w:ascii="Verdana" w:hAnsi="Verdana"/>
      <w:b/>
      <w:sz w:val="20"/>
    </w:rPr>
  </w:style>
  <w:style w:type="paragraph" w:styleId="NormalWeb">
    <w:name w:val="Normal (Web)"/>
    <w:basedOn w:val="Normal"/>
    <w:uiPriority w:val="99"/>
    <w:rsid w:val="008E17CD"/>
    <w:rPr>
      <w:rFonts w:ascii="Verdana" w:hAnsi="Verdana" w:cs="Times New Roman"/>
      <w:kern w:val="2"/>
      <w:sz w:val="20"/>
      <w:szCs w:val="24"/>
      <w14:ligatures w14:val="standardContextual"/>
    </w:rPr>
  </w:style>
  <w:style w:type="paragraph" w:customStyle="1" w:styleId="lead">
    <w:name w:val="lead"/>
    <w:basedOn w:val="Normal"/>
    <w:rsid w:val="008E1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NZ"/>
    </w:rPr>
  </w:style>
  <w:style w:type="paragraph" w:customStyle="1" w:styleId="Heading2-spaceafter">
    <w:name w:val="Heading 2 - space after"/>
    <w:basedOn w:val="Heading2"/>
    <w:qFormat/>
    <w:rsid w:val="00D66D32"/>
    <w:pPr>
      <w:spacing w:before="0" w:after="120" w:line="240" w:lineRule="auto"/>
    </w:pPr>
    <w:rPr>
      <w:sz w:val="48"/>
    </w:rPr>
  </w:style>
  <w:style w:type="character" w:customStyle="1" w:styleId="normaltextrun">
    <w:name w:val="normaltextrun"/>
    <w:basedOn w:val="DefaultParagraphFont"/>
    <w:rsid w:val="00E31A99"/>
  </w:style>
  <w:style w:type="paragraph" w:customStyle="1" w:styleId="Default">
    <w:name w:val="Default"/>
    <w:rsid w:val="00E31A99"/>
    <w:pPr>
      <w:autoSpaceDE w:val="0"/>
      <w:autoSpaceDN w:val="0"/>
      <w:adjustRightInd w:val="0"/>
    </w:pPr>
    <w:rPr>
      <w:rFonts w:ascii="Roboto" w:eastAsia="Times New Roman" w:hAnsi="Roboto" w:cs="Roboto"/>
      <w:color w:val="000000"/>
      <w:sz w:val="24"/>
      <w:szCs w:val="24"/>
      <w:lang w:eastAsia="en-NZ"/>
    </w:rPr>
  </w:style>
  <w:style w:type="paragraph" w:customStyle="1" w:styleId="Pa6">
    <w:name w:val="Pa6"/>
    <w:basedOn w:val="Default"/>
    <w:next w:val="Default"/>
    <w:uiPriority w:val="99"/>
    <w:rsid w:val="00E31A99"/>
    <w:pPr>
      <w:spacing w:line="28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E31A99"/>
    <w:rPr>
      <w:rFonts w:cs="Roboto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E31A99"/>
    <w:pPr>
      <w:spacing w:line="301" w:lineRule="atLeast"/>
    </w:pPr>
    <w:rPr>
      <w:rFonts w:cs="Times New Roman"/>
      <w:color w:val="auto"/>
    </w:rPr>
  </w:style>
  <w:style w:type="character" w:customStyle="1" w:styleId="eop">
    <w:name w:val="eop"/>
    <w:basedOn w:val="DefaultParagraphFont"/>
    <w:rsid w:val="00E31A99"/>
  </w:style>
  <w:style w:type="paragraph" w:customStyle="1" w:styleId="paragraph">
    <w:name w:val="paragraph"/>
    <w:basedOn w:val="Normal"/>
    <w:rsid w:val="00E31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72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837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145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235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071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742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2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608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78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sabilitysupport.govt.nz/about-us/taskforce/independent-revie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SS colours">
      <a:dk1>
        <a:sysClr val="windowText" lastClr="000000"/>
      </a:dk1>
      <a:lt1>
        <a:sysClr val="window" lastClr="FFFFFF"/>
      </a:lt1>
      <a:dk2>
        <a:srgbClr val="2C602F"/>
      </a:dk2>
      <a:lt2>
        <a:srgbClr val="D4F2B6"/>
      </a:lt2>
      <a:accent1>
        <a:srgbClr val="5C9A42"/>
      </a:accent1>
      <a:accent2>
        <a:srgbClr val="BD982F"/>
      </a:accent2>
      <a:accent3>
        <a:srgbClr val="19196F"/>
      </a:accent3>
      <a:accent4>
        <a:srgbClr val="5E3979"/>
      </a:accent4>
      <a:accent5>
        <a:srgbClr val="AF3405"/>
      </a:accent5>
      <a:accent6>
        <a:srgbClr val="D70F5F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7B222-E30E-4F56-A920-A5E34D2E6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template No photo Unity Pattern Purple</vt:lpstr>
    </vt:vector>
  </TitlesOfParts>
  <Company>Ministry of Social Development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 No photo Unity Pattern Purple</dc:title>
  <dc:creator>Ministry of Social Development</dc:creator>
  <cp:lastModifiedBy>Claire Lord</cp:lastModifiedBy>
  <cp:revision>3</cp:revision>
  <cp:lastPrinted>2025-05-21T23:09:00Z</cp:lastPrinted>
  <dcterms:created xsi:type="dcterms:W3CDTF">2025-05-21T23:11:00Z</dcterms:created>
  <dcterms:modified xsi:type="dcterms:W3CDTF">2025-05-21T23:16:00Z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1,2,3,4,7,8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f43e46a9-9901-46e9-bfae-bb6189d4cb66_Enabled">
    <vt:lpwstr>true</vt:lpwstr>
  </property>
  <property fmtid="{D5CDD505-2E9C-101B-9397-08002B2CF9AE}" pid="6" name="MSIP_Label_f43e46a9-9901-46e9-bfae-bb6189d4cb66_SetDate">
    <vt:lpwstr>2024-04-12T01:56:27Z</vt:lpwstr>
  </property>
  <property fmtid="{D5CDD505-2E9C-101B-9397-08002B2CF9AE}" pid="7" name="MSIP_Label_f43e46a9-9901-46e9-bfae-bb6189d4cb66_Method">
    <vt:lpwstr>Standard</vt:lpwstr>
  </property>
  <property fmtid="{D5CDD505-2E9C-101B-9397-08002B2CF9AE}" pid="8" name="MSIP_Label_f43e46a9-9901-46e9-bfae-bb6189d4cb66_Name">
    <vt:lpwstr>In-confidence</vt:lpwstr>
  </property>
  <property fmtid="{D5CDD505-2E9C-101B-9397-08002B2CF9AE}" pid="9" name="MSIP_Label_f43e46a9-9901-46e9-bfae-bb6189d4cb66_SiteId">
    <vt:lpwstr>e40c4f52-99bd-4d4f-bf7e-d001a2ca6556</vt:lpwstr>
  </property>
  <property fmtid="{D5CDD505-2E9C-101B-9397-08002B2CF9AE}" pid="10" name="MSIP_Label_f43e46a9-9901-46e9-bfae-bb6189d4cb66_ActionId">
    <vt:lpwstr>c89af073-37ee-47ae-9c14-012bdc44e002</vt:lpwstr>
  </property>
  <property fmtid="{D5CDD505-2E9C-101B-9397-08002B2CF9AE}" pid="11" name="MSIP_Label_f43e46a9-9901-46e9-bfae-bb6189d4cb66_ContentBits">
    <vt:lpwstr>1</vt:lpwstr>
  </property>
</Properties>
</file>