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2E1D286B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2FA45894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1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4B041B5D" w:rsidR="00DB11FB" w:rsidRPr="00910B6A" w:rsidRDefault="000D528A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Pact Invercargill</w:t>
            </w: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4BBD5674" w:rsidR="00DB11FB" w:rsidRPr="00910B6A" w:rsidRDefault="008E1651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7-8 April 2025</w:t>
            </w: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199585B2" w:rsidR="00217C23" w:rsidRPr="00910B6A" w:rsidRDefault="008E1651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Routine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79292E6F" w:rsidR="00217C23" w:rsidRPr="00910B6A" w:rsidRDefault="008E1651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17C23" w:rsidRPr="00910B6A">
              <w:rPr>
                <w:szCs w:val="22"/>
              </w:rPr>
              <w:t xml:space="preserve">ommunity </w:t>
            </w:r>
            <w:r>
              <w:rPr>
                <w:szCs w:val="22"/>
              </w:rPr>
              <w:t>R</w:t>
            </w:r>
            <w:r w:rsidR="00217C23" w:rsidRPr="00910B6A">
              <w:rPr>
                <w:szCs w:val="22"/>
              </w:rPr>
              <w:t>esidential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27092CFA" w:rsidR="00217C23" w:rsidRPr="00910B6A" w:rsidRDefault="008E1651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Invercargill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7F0070EB" w14:textId="2BD79B78" w:rsidR="00217C23" w:rsidRDefault="00114BDF" w:rsidP="002E670D">
            <w:pPr>
              <w:spacing w:before="0" w:line="240" w:lineRule="auto"/>
              <w:rPr>
                <w:szCs w:val="22"/>
              </w:rPr>
            </w:pPr>
            <w:r w:rsidRPr="00114BDF">
              <w:rPr>
                <w:szCs w:val="22"/>
              </w:rPr>
              <w:t xml:space="preserve">Pact Southland provides Youth Services, Adult Mental Health Services, Supported Independent Living, </w:t>
            </w:r>
            <w:r w:rsidR="00484407">
              <w:rPr>
                <w:szCs w:val="22"/>
              </w:rPr>
              <w:t xml:space="preserve">a </w:t>
            </w:r>
            <w:r w:rsidRPr="00114BDF">
              <w:rPr>
                <w:szCs w:val="22"/>
              </w:rPr>
              <w:t>Downtown Social Networking Centre and 14 Community Residential services.</w:t>
            </w:r>
          </w:p>
          <w:p w14:paraId="5FE8E831" w14:textId="3601CCA9" w:rsidR="00217C23" w:rsidRPr="00910B6A" w:rsidRDefault="004F096D" w:rsidP="002E670D">
            <w:pPr>
              <w:spacing w:before="0" w:line="240" w:lineRule="auto"/>
              <w:rPr>
                <w:szCs w:val="22"/>
              </w:rPr>
            </w:pPr>
            <w:r w:rsidRPr="004F096D">
              <w:rPr>
                <w:szCs w:val="22"/>
              </w:rPr>
              <w:t xml:space="preserve">Continuing development is a collaborative process </w:t>
            </w:r>
            <w:r w:rsidR="008D3F48">
              <w:rPr>
                <w:szCs w:val="22"/>
              </w:rPr>
              <w:t xml:space="preserve">for Pact. </w:t>
            </w:r>
            <w:r w:rsidRPr="004F096D">
              <w:rPr>
                <w:szCs w:val="22"/>
              </w:rPr>
              <w:t>People, families and managers</w:t>
            </w:r>
            <w:r w:rsidR="00E900E6">
              <w:rPr>
                <w:szCs w:val="22"/>
              </w:rPr>
              <w:t xml:space="preserve"> work together and have</w:t>
            </w:r>
            <w:r w:rsidRPr="004F096D">
              <w:rPr>
                <w:szCs w:val="22"/>
              </w:rPr>
              <w:t xml:space="preserve"> a strong focus on putting </w:t>
            </w:r>
            <w:r w:rsidR="00685BCA">
              <w:rPr>
                <w:szCs w:val="22"/>
              </w:rPr>
              <w:t xml:space="preserve">the </w:t>
            </w:r>
            <w:r w:rsidRPr="004F096D">
              <w:rPr>
                <w:szCs w:val="22"/>
              </w:rPr>
              <w:t>Enabling Good Lives (EGL) principles into action.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17B7274F" w:rsidR="006D5AA6" w:rsidRPr="00910B6A" w:rsidRDefault="006179B0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One home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DF47FCE" w:rsidR="00217C23" w:rsidRPr="00910B6A" w:rsidRDefault="00910B6A" w:rsidP="002E670D">
            <w:pPr>
              <w:spacing w:before="0" w:line="240" w:lineRule="auto"/>
              <w:rPr>
                <w:szCs w:val="22"/>
              </w:rPr>
            </w:pPr>
            <w:r w:rsidRPr="00910B6A">
              <w:rPr>
                <w:szCs w:val="22"/>
              </w:rPr>
              <w:t>SAMS – Standards and Monitoring Services</w:t>
            </w:r>
            <w:r w:rsidR="00217C23" w:rsidRPr="00910B6A">
              <w:rPr>
                <w:szCs w:val="22"/>
              </w:rPr>
              <w:t xml:space="preserve">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9CBDABD" w:rsidR="00317FB6" w:rsidRPr="00242272" w:rsidRDefault="00090B04" w:rsidP="001E1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47D7C2F3" w:rsidR="00DB11FB" w:rsidRPr="008F1B50" w:rsidRDefault="00DB11FB" w:rsidP="00910B6A">
            <w:pPr>
              <w:jc w:val="center"/>
            </w:pPr>
            <w:r w:rsidRPr="008F1B50">
              <w:t>Disabled people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910B6A">
            <w:pPr>
              <w:jc w:val="center"/>
            </w:pPr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3B5EB833" w:rsidR="00DB11FB" w:rsidRPr="008F1B50" w:rsidRDefault="00DB11FB" w:rsidP="00910B6A">
            <w:pPr>
              <w:jc w:val="center"/>
            </w:pPr>
            <w:r w:rsidRPr="008F1B50">
              <w:t>Staff</w:t>
            </w:r>
          </w:p>
        </w:tc>
        <w:tc>
          <w:tcPr>
            <w:tcW w:w="2217" w:type="dxa"/>
          </w:tcPr>
          <w:p w14:paraId="2258708D" w14:textId="3BCD40CA" w:rsidR="00DB11FB" w:rsidRPr="008F1B50" w:rsidRDefault="00DB11FB" w:rsidP="00910B6A">
            <w:pPr>
              <w:jc w:val="center"/>
            </w:pPr>
            <w:r w:rsidRPr="008F1B50">
              <w:t>Management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37EF84B1" w:rsidR="00DB11FB" w:rsidRDefault="00090B04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  <w:gridSpan w:val="2"/>
          </w:tcPr>
          <w:p w14:paraId="31DAEB63" w14:textId="7AC2508A" w:rsidR="00DB11FB" w:rsidRDefault="00090B04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14:paraId="3685146D" w14:textId="0B98C0F6" w:rsidR="00DB11FB" w:rsidRDefault="00090B04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17" w:type="dxa"/>
          </w:tcPr>
          <w:p w14:paraId="2A6D5CCF" w14:textId="1DB9EE4F" w:rsidR="00DB11FB" w:rsidRDefault="00090B04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29"/>
      </w:tblGrid>
      <w:tr w:rsidR="00A526D5" w14:paraId="12117317" w14:textId="7FAE074F" w:rsidTr="00305361">
        <w:tc>
          <w:tcPr>
            <w:tcW w:w="6516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2929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6179B0">
        <w:tc>
          <w:tcPr>
            <w:tcW w:w="6516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7D9C45DB" w14:textId="19514DCA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DC7EACD" w14:textId="6F30E9CD" w:rsidTr="006179B0">
        <w:tc>
          <w:tcPr>
            <w:tcW w:w="6516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2929" w:type="dxa"/>
            <w:shd w:val="clear" w:color="auto" w:fill="92D050"/>
          </w:tcPr>
          <w:p w14:paraId="4286586E" w14:textId="37E8CCD3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5E069EE1" w14:textId="36FB50A6" w:rsidTr="006179B0">
        <w:tc>
          <w:tcPr>
            <w:tcW w:w="6516" w:type="dxa"/>
          </w:tcPr>
          <w:p w14:paraId="4987804E" w14:textId="77777777" w:rsidR="00A526D5" w:rsidRPr="00DC10F4" w:rsidRDefault="00A526D5" w:rsidP="001E1278">
            <w:r w:rsidRPr="00DC10F4">
              <w:t>My connections / Te Ao Hurihuri</w:t>
            </w:r>
          </w:p>
        </w:tc>
        <w:tc>
          <w:tcPr>
            <w:tcW w:w="2929" w:type="dxa"/>
            <w:shd w:val="clear" w:color="auto" w:fill="00B0F0"/>
          </w:tcPr>
          <w:p w14:paraId="6251BE3A" w14:textId="74781811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79100ED3" w14:textId="74FBB3AC" w:rsidTr="006179B0">
        <w:tc>
          <w:tcPr>
            <w:tcW w:w="6516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2929" w:type="dxa"/>
            <w:shd w:val="clear" w:color="auto" w:fill="92D050"/>
          </w:tcPr>
          <w:p w14:paraId="7728D04E" w14:textId="7906794A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6774AE5D" w14:textId="73CC463B" w:rsidTr="006179B0">
        <w:tc>
          <w:tcPr>
            <w:tcW w:w="6516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7EAF360C" w14:textId="08680665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4CAD432B" w14:textId="22B96ADD" w:rsidTr="006179B0">
        <w:tc>
          <w:tcPr>
            <w:tcW w:w="6516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3E45678B" w14:textId="19CA0392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259E2930" w14:textId="07A20F60" w:rsidTr="006179B0">
        <w:tc>
          <w:tcPr>
            <w:tcW w:w="6516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6F347B1D" w14:textId="75F7B853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74C60ABC" w14:textId="4B63EBF0" w:rsidTr="006179B0">
        <w:tc>
          <w:tcPr>
            <w:tcW w:w="6516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2929" w:type="dxa"/>
            <w:shd w:val="clear" w:color="auto" w:fill="92D050"/>
          </w:tcPr>
          <w:p w14:paraId="535F3F50" w14:textId="3B674283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025BA04" w14:textId="080CB3D6" w:rsidTr="006179B0">
        <w:tc>
          <w:tcPr>
            <w:tcW w:w="6516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2929" w:type="dxa"/>
            <w:shd w:val="clear" w:color="auto" w:fill="92D050"/>
          </w:tcPr>
          <w:p w14:paraId="6A5BCF10" w14:textId="036F66E6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4FEE550" w14:textId="5F238D1A" w:rsidTr="006179B0">
        <w:tc>
          <w:tcPr>
            <w:tcW w:w="6516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Māori)</w:t>
            </w:r>
          </w:p>
        </w:tc>
        <w:tc>
          <w:tcPr>
            <w:tcW w:w="2929" w:type="dxa"/>
            <w:shd w:val="clear" w:color="auto" w:fill="92D050"/>
          </w:tcPr>
          <w:p w14:paraId="71E8F4AF" w14:textId="63CB27B8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6789EFE" w14:textId="10FFE067" w:rsidTr="006179B0">
        <w:tc>
          <w:tcPr>
            <w:tcW w:w="6516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2929" w:type="dxa"/>
            <w:shd w:val="clear" w:color="auto" w:fill="92D050"/>
          </w:tcPr>
          <w:p w14:paraId="43508897" w14:textId="03BFB775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1D1456B" w14:textId="0394D30A" w:rsidTr="006179B0">
        <w:tc>
          <w:tcPr>
            <w:tcW w:w="6516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2929" w:type="dxa"/>
            <w:shd w:val="clear" w:color="auto" w:fill="92D050"/>
          </w:tcPr>
          <w:p w14:paraId="7F70D35D" w14:textId="6CEDAF69" w:rsidR="00A526D5" w:rsidRPr="00910B6A" w:rsidRDefault="00C06D91" w:rsidP="006179B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1C223F25" w14:textId="77777777" w:rsidR="00FD1357" w:rsidRDefault="00B82E3D" w:rsidP="00DB11F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2" w:history="1">
        <w:proofErr w:type="spellStart"/>
        <w:r w:rsidRPr="00B261ED">
          <w:rPr>
            <w:rStyle w:val="Hyperlink"/>
            <w:b/>
            <w:bCs/>
          </w:rPr>
          <w:t>Ngā</w:t>
        </w:r>
        <w:proofErr w:type="spellEnd"/>
        <w:r w:rsidRPr="00B261ED">
          <w:rPr>
            <w:rStyle w:val="Hyperlink"/>
            <w:b/>
            <w:bCs/>
          </w:rPr>
          <w:t xml:space="preserve"> </w:t>
        </w:r>
        <w:proofErr w:type="spellStart"/>
        <w:r w:rsidRPr="00B261ED">
          <w:rPr>
            <w:rStyle w:val="Hyperlink"/>
            <w:b/>
            <w:bCs/>
          </w:rPr>
          <w:t>Paerewa</w:t>
        </w:r>
        <w:proofErr w:type="spellEnd"/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>?</w:t>
      </w:r>
    </w:p>
    <w:p w14:paraId="1863C3A2" w14:textId="25D94B16" w:rsidR="00DB11FB" w:rsidRPr="00FD1357" w:rsidRDefault="00247DC1" w:rsidP="00FD1357">
      <w:pPr>
        <w:pStyle w:val="ListParagraph"/>
        <w:ind w:left="360"/>
        <w:rPr>
          <w:b/>
          <w:bCs/>
        </w:rPr>
      </w:pPr>
      <w:r>
        <w:t>No</w:t>
      </w:r>
      <w:r w:rsidR="008E3816">
        <w:t>.</w:t>
      </w:r>
    </w:p>
    <w:p w14:paraId="4F894861" w14:textId="77777777" w:rsidR="008E3816" w:rsidRDefault="008E3816" w:rsidP="00DB11FB"/>
    <w:p w14:paraId="216773D5" w14:textId="6E0CF601" w:rsidR="00A526D5" w:rsidRPr="00772C9B" w:rsidRDefault="00151649" w:rsidP="00772C9B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Areas of development, r</w:t>
      </w:r>
      <w:r w:rsidR="00B82E3D" w:rsidRPr="00B261ED">
        <w:rPr>
          <w:b/>
          <w:bCs/>
        </w:rPr>
        <w:t>ecommendations and requirements</w:t>
      </w:r>
    </w:p>
    <w:p w14:paraId="07B4529F" w14:textId="7B9F5831" w:rsidR="001F3B66" w:rsidRDefault="00737241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</w:t>
      </w:r>
      <w:r w:rsidR="00DB11FB" w:rsidRPr="00B93012">
        <w:rPr>
          <w:b/>
          <w:bCs/>
        </w:rPr>
        <w:t>reas of development</w:t>
      </w:r>
    </w:p>
    <w:p w14:paraId="0973A5A9" w14:textId="74F43638" w:rsidR="00271142" w:rsidRPr="00271142" w:rsidRDefault="00271142" w:rsidP="00271142">
      <w:pPr>
        <w:pStyle w:val="ListParagraph"/>
        <w:numPr>
          <w:ilvl w:val="0"/>
          <w:numId w:val="41"/>
        </w:numPr>
      </w:pPr>
      <w:r w:rsidRPr="00271142">
        <w:t>Ensure the environmental restraint review process includes reflection on a Person’s developing skills and understanding and considers other risk management approaches.</w:t>
      </w:r>
    </w:p>
    <w:p w14:paraId="34A6FB05" w14:textId="773516F0" w:rsidR="00271142" w:rsidRPr="00271142" w:rsidRDefault="00271142" w:rsidP="00271142">
      <w:pPr>
        <w:pStyle w:val="ListParagraph"/>
        <w:numPr>
          <w:ilvl w:val="0"/>
          <w:numId w:val="41"/>
        </w:numPr>
      </w:pPr>
      <w:r w:rsidRPr="00271142">
        <w:t xml:space="preserve">The online record system ‘IO’ links incident records to the individual and the system doesn’t support data </w:t>
      </w:r>
      <w:r w:rsidRPr="000451F4">
        <w:t>interrogation</w:t>
      </w:r>
      <w:r w:rsidRPr="00271142">
        <w:t xml:space="preserve"> in ways that identify themes for the individual or the service. We encourage Pact to find ways to gain this insight and use data to inform service delivery.</w:t>
      </w:r>
    </w:p>
    <w:p w14:paraId="418730D0" w14:textId="36B4DFBB" w:rsidR="001F3B66" w:rsidRPr="00271142" w:rsidRDefault="00271142" w:rsidP="00BC0C04">
      <w:pPr>
        <w:pStyle w:val="ListParagraph"/>
        <w:numPr>
          <w:ilvl w:val="0"/>
          <w:numId w:val="41"/>
        </w:numPr>
      </w:pPr>
      <w:r w:rsidRPr="00271142">
        <w:t>Medi-Map is used to support medication delivery and record-keeping. We encourage the service to extract and use data to monitor trends locally to inform service delivery (e.g. missed/late medication, use of PRN).</w:t>
      </w:r>
    </w:p>
    <w:p w14:paraId="003E4E1E" w14:textId="77777777" w:rsidR="00271142" w:rsidRPr="00151649" w:rsidRDefault="00271142" w:rsidP="00271142">
      <w:pPr>
        <w:pStyle w:val="ListParagraph"/>
        <w:ind w:left="1800"/>
      </w:pPr>
    </w:p>
    <w:p w14:paraId="580BBA89" w14:textId="4AEA113B" w:rsidR="00737241" w:rsidRDefault="00BC0C04" w:rsidP="00737241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Recommendations</w:t>
      </w:r>
    </w:p>
    <w:p w14:paraId="392B3EE6" w14:textId="433876B8" w:rsidR="0068638F" w:rsidRPr="0068638F" w:rsidRDefault="0068638F" w:rsidP="0068638F">
      <w:pPr>
        <w:pStyle w:val="ListParagraph"/>
        <w:numPr>
          <w:ilvl w:val="0"/>
          <w:numId w:val="41"/>
        </w:numPr>
      </w:pPr>
      <w:r w:rsidRPr="0068638F">
        <w:t>Mentor staff to implement goal planning training.</w:t>
      </w:r>
    </w:p>
    <w:p w14:paraId="4B18C749" w14:textId="189E01D9" w:rsidR="0068638F" w:rsidRPr="0068638F" w:rsidRDefault="0068638F" w:rsidP="0068638F">
      <w:pPr>
        <w:pStyle w:val="ListParagraph"/>
        <w:numPr>
          <w:ilvl w:val="0"/>
          <w:numId w:val="41"/>
        </w:numPr>
      </w:pPr>
      <w:r w:rsidRPr="0068638F">
        <w:t>Find ways to support People to share casual updates about their activities and life.</w:t>
      </w:r>
    </w:p>
    <w:p w14:paraId="33CA3CD0" w14:textId="64503B30" w:rsidR="00B261ED" w:rsidRPr="0068638F" w:rsidRDefault="0068638F" w:rsidP="00B82AB6">
      <w:pPr>
        <w:pStyle w:val="ListParagraph"/>
        <w:numPr>
          <w:ilvl w:val="0"/>
          <w:numId w:val="41"/>
        </w:numPr>
      </w:pPr>
      <w:r w:rsidRPr="0068638F">
        <w:t>Work with People and whānau to build a vision of long-term life plans to inform day-to-day planning and service delivery.</w:t>
      </w:r>
    </w:p>
    <w:p w14:paraId="71A866AA" w14:textId="77777777" w:rsidR="0068638F" w:rsidRPr="0068638F" w:rsidRDefault="0068638F" w:rsidP="0068638F">
      <w:pPr>
        <w:pStyle w:val="ListParagraph"/>
        <w:ind w:left="1800"/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0E3EAFA9" w:rsidR="00DB11FB" w:rsidRPr="002E670D" w:rsidRDefault="00A542FD" w:rsidP="002E670D">
      <w:pPr>
        <w:pStyle w:val="ListParagraph"/>
        <w:ind w:left="1080"/>
      </w:pPr>
      <w:r>
        <w:t>The</w:t>
      </w:r>
      <w:r w:rsidR="008E3816">
        <w:t>re are no requirements.</w:t>
      </w:r>
    </w:p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5D6812AF" w14:textId="5BB7FE5B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>Managers focus on EGL principles in action.</w:t>
      </w:r>
    </w:p>
    <w:p w14:paraId="7CA1B756" w14:textId="3DA309B1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>Collaborative relationships with families.</w:t>
      </w:r>
    </w:p>
    <w:p w14:paraId="6303506E" w14:textId="4BBB0995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 xml:space="preserve">People are well </w:t>
      </w:r>
      <w:r w:rsidR="006C7AD3" w:rsidRPr="00B13830">
        <w:t>known,</w:t>
      </w:r>
      <w:r w:rsidRPr="00B13830">
        <w:t xml:space="preserve"> and their communication is understood.  </w:t>
      </w:r>
    </w:p>
    <w:p w14:paraId="11318546" w14:textId="784D3A9C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>People’s safety and wellbeing is well supported.</w:t>
      </w:r>
    </w:p>
    <w:p w14:paraId="33D284D4" w14:textId="1A9E5E32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>People lead individual lives and have good relationships with their flatmates.</w:t>
      </w:r>
    </w:p>
    <w:p w14:paraId="2E3E8DE9" w14:textId="66818919" w:rsidR="00B13830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 xml:space="preserve">People continue to develop and increase skills. </w:t>
      </w:r>
    </w:p>
    <w:p w14:paraId="4A5B9BF3" w14:textId="3FFF2619" w:rsidR="0090719A" w:rsidRPr="00B13830" w:rsidRDefault="00B13830" w:rsidP="00B13830">
      <w:pPr>
        <w:pStyle w:val="ListParagraph"/>
        <w:numPr>
          <w:ilvl w:val="0"/>
          <w:numId w:val="42"/>
        </w:numPr>
      </w:pPr>
      <w:r w:rsidRPr="00B13830">
        <w:t>The house is homely while accommodating some challenging needs.</w:t>
      </w:r>
      <w:r w:rsidR="0090719A" w:rsidRPr="00B13830">
        <w:t xml:space="preserve"> </w:t>
      </w:r>
    </w:p>
    <w:p w14:paraId="1C60B509" w14:textId="64F192EA" w:rsidR="00313CDB" w:rsidRDefault="005D1502" w:rsidP="00313CDB">
      <w:r w:rsidRPr="005D1502">
        <w:t xml:space="preserve"> </w:t>
      </w:r>
    </w:p>
    <w:sectPr w:rsidR="00313CDB" w:rsidSect="007E31A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88807" w14:textId="77777777" w:rsidR="00BC46C7" w:rsidRDefault="00BC46C7">
      <w:r>
        <w:separator/>
      </w:r>
    </w:p>
    <w:p w14:paraId="64275B58" w14:textId="77777777" w:rsidR="00BC46C7" w:rsidRDefault="00BC46C7"/>
  </w:endnote>
  <w:endnote w:type="continuationSeparator" w:id="0">
    <w:p w14:paraId="684300E7" w14:textId="77777777" w:rsidR="00BC46C7" w:rsidRDefault="00BC46C7">
      <w:r>
        <w:continuationSeparator/>
      </w:r>
    </w:p>
    <w:p w14:paraId="6D868697" w14:textId="77777777" w:rsidR="00BC46C7" w:rsidRDefault="00BC46C7"/>
  </w:endnote>
  <w:endnote w:type="continuationNotice" w:id="1">
    <w:p w14:paraId="0906B48D" w14:textId="77777777" w:rsidR="00BC46C7" w:rsidRDefault="00BC46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17B4" w14:textId="77777777" w:rsidR="00BC46C7" w:rsidRDefault="00BC46C7">
      <w:r>
        <w:separator/>
      </w:r>
    </w:p>
    <w:p w14:paraId="0ADD51D3" w14:textId="77777777" w:rsidR="00BC46C7" w:rsidRDefault="00BC46C7"/>
  </w:footnote>
  <w:footnote w:type="continuationSeparator" w:id="0">
    <w:p w14:paraId="6A50A201" w14:textId="77777777" w:rsidR="00BC46C7" w:rsidRDefault="00BC46C7">
      <w:r>
        <w:continuationSeparator/>
      </w:r>
    </w:p>
    <w:p w14:paraId="3263DED9" w14:textId="77777777" w:rsidR="00BC46C7" w:rsidRDefault="00BC46C7"/>
  </w:footnote>
  <w:footnote w:type="continuationNotice" w:id="1">
    <w:p w14:paraId="242CE8ED" w14:textId="77777777" w:rsidR="00BC46C7" w:rsidRDefault="00BC46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C12CD9"/>
    <w:multiLevelType w:val="hybridMultilevel"/>
    <w:tmpl w:val="B5A0294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5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3F3E35"/>
    <w:multiLevelType w:val="hybridMultilevel"/>
    <w:tmpl w:val="7CD45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6"/>
  </w:num>
  <w:num w:numId="2" w16cid:durableId="744647662">
    <w:abstractNumId w:val="27"/>
  </w:num>
  <w:num w:numId="3" w16cid:durableId="36124615">
    <w:abstractNumId w:val="30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6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4"/>
  </w:num>
  <w:num w:numId="17" w16cid:durableId="526723129">
    <w:abstractNumId w:val="6"/>
  </w:num>
  <w:num w:numId="18" w16cid:durableId="864447556">
    <w:abstractNumId w:val="26"/>
  </w:num>
  <w:num w:numId="19" w16cid:durableId="1941986373">
    <w:abstractNumId w:val="10"/>
  </w:num>
  <w:num w:numId="20" w16cid:durableId="1432819115">
    <w:abstractNumId w:val="15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5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2"/>
  </w:num>
  <w:num w:numId="25" w16cid:durableId="1151411266">
    <w:abstractNumId w:val="18"/>
  </w:num>
  <w:num w:numId="26" w16cid:durableId="890729947">
    <w:abstractNumId w:val="15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29"/>
  </w:num>
  <w:num w:numId="28" w16cid:durableId="1571304397">
    <w:abstractNumId w:val="14"/>
  </w:num>
  <w:num w:numId="29" w16cid:durableId="1304847002">
    <w:abstractNumId w:val="15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5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3"/>
  </w:num>
  <w:num w:numId="34" w16cid:durableId="844395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19"/>
  </w:num>
  <w:num w:numId="37" w16cid:durableId="1718040597">
    <w:abstractNumId w:val="21"/>
  </w:num>
  <w:num w:numId="38" w16cid:durableId="7175498">
    <w:abstractNumId w:val="11"/>
  </w:num>
  <w:num w:numId="39" w16cid:durableId="2087146254">
    <w:abstractNumId w:val="20"/>
  </w:num>
  <w:num w:numId="40" w16cid:durableId="274606229">
    <w:abstractNumId w:val="13"/>
  </w:num>
  <w:num w:numId="41" w16cid:durableId="1470246519">
    <w:abstractNumId w:val="17"/>
  </w:num>
  <w:num w:numId="42" w16cid:durableId="473331859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147F0"/>
    <w:rsid w:val="00020C78"/>
    <w:rsid w:val="00022D2F"/>
    <w:rsid w:val="00023C67"/>
    <w:rsid w:val="000261E9"/>
    <w:rsid w:val="00034268"/>
    <w:rsid w:val="00034CC5"/>
    <w:rsid w:val="00041313"/>
    <w:rsid w:val="00041A1C"/>
    <w:rsid w:val="000451F4"/>
    <w:rsid w:val="00051FBD"/>
    <w:rsid w:val="00053967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B04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D4D4F"/>
    <w:rsid w:val="000D528A"/>
    <w:rsid w:val="000D6BE8"/>
    <w:rsid w:val="000F51DD"/>
    <w:rsid w:val="000F7498"/>
    <w:rsid w:val="000F7FAC"/>
    <w:rsid w:val="001011FF"/>
    <w:rsid w:val="00103C2C"/>
    <w:rsid w:val="00104E00"/>
    <w:rsid w:val="00112AED"/>
    <w:rsid w:val="00114BDF"/>
    <w:rsid w:val="0012418A"/>
    <w:rsid w:val="00126067"/>
    <w:rsid w:val="00127DB8"/>
    <w:rsid w:val="00130BC5"/>
    <w:rsid w:val="00133AC6"/>
    <w:rsid w:val="00137A5C"/>
    <w:rsid w:val="00137C12"/>
    <w:rsid w:val="00142A82"/>
    <w:rsid w:val="00146381"/>
    <w:rsid w:val="001477FE"/>
    <w:rsid w:val="00150160"/>
    <w:rsid w:val="001510E9"/>
    <w:rsid w:val="0015164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4422"/>
    <w:rsid w:val="00225F8B"/>
    <w:rsid w:val="00225FEA"/>
    <w:rsid w:val="0023166C"/>
    <w:rsid w:val="00233C16"/>
    <w:rsid w:val="002350FB"/>
    <w:rsid w:val="00235609"/>
    <w:rsid w:val="002413C4"/>
    <w:rsid w:val="002474C5"/>
    <w:rsid w:val="00247990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1142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361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4415"/>
    <w:rsid w:val="003E55C4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3962"/>
    <w:rsid w:val="00475E45"/>
    <w:rsid w:val="00480875"/>
    <w:rsid w:val="00484407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E1115"/>
    <w:rsid w:val="004F023B"/>
    <w:rsid w:val="004F096D"/>
    <w:rsid w:val="004F6225"/>
    <w:rsid w:val="00501BA1"/>
    <w:rsid w:val="005033DD"/>
    <w:rsid w:val="0051084C"/>
    <w:rsid w:val="005114BD"/>
    <w:rsid w:val="005122E9"/>
    <w:rsid w:val="00513C51"/>
    <w:rsid w:val="00513F21"/>
    <w:rsid w:val="005167AA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3C6B"/>
    <w:rsid w:val="006045B3"/>
    <w:rsid w:val="006073B9"/>
    <w:rsid w:val="00607E68"/>
    <w:rsid w:val="006119C9"/>
    <w:rsid w:val="006125E6"/>
    <w:rsid w:val="006179B0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5BCA"/>
    <w:rsid w:val="0068638F"/>
    <w:rsid w:val="00686D5A"/>
    <w:rsid w:val="006905F6"/>
    <w:rsid w:val="006956BC"/>
    <w:rsid w:val="00696C5F"/>
    <w:rsid w:val="00696CC8"/>
    <w:rsid w:val="006A0EEB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C7AD3"/>
    <w:rsid w:val="006D35FB"/>
    <w:rsid w:val="006D5AA6"/>
    <w:rsid w:val="006E241B"/>
    <w:rsid w:val="006E28DE"/>
    <w:rsid w:val="006F0134"/>
    <w:rsid w:val="006F128B"/>
    <w:rsid w:val="006F5A16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37241"/>
    <w:rsid w:val="00740FE7"/>
    <w:rsid w:val="00745B00"/>
    <w:rsid w:val="00746149"/>
    <w:rsid w:val="00750C51"/>
    <w:rsid w:val="007515D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7B5"/>
    <w:rsid w:val="00830C4A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D3F48"/>
    <w:rsid w:val="008E1651"/>
    <w:rsid w:val="008E1EAD"/>
    <w:rsid w:val="008E3816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0B6A"/>
    <w:rsid w:val="00915A5F"/>
    <w:rsid w:val="0091674C"/>
    <w:rsid w:val="00921969"/>
    <w:rsid w:val="00922E10"/>
    <w:rsid w:val="00925660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A0502"/>
    <w:rsid w:val="00AA06F7"/>
    <w:rsid w:val="00AA2378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3830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0C04"/>
    <w:rsid w:val="00BC2E66"/>
    <w:rsid w:val="00BC46C7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38C2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6D91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5771A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DF7EDC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1C17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0E6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B5DD9"/>
    <w:rsid w:val="00EC09DA"/>
    <w:rsid w:val="00EC27EC"/>
    <w:rsid w:val="00EC2F78"/>
    <w:rsid w:val="00EC3E52"/>
    <w:rsid w:val="00ED03C2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1357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A_Request@msd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b70d6-a9c8-49ba-afbf-866fb35e6d2f" xsi:nil="true"/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d93b70d6-a9c8-49ba-afbf-866fb35e6d2f"/>
    <ds:schemaRef ds:uri="3fdce1f8-0a95-4318-99f6-d0097a0989e8"/>
  </ds:schemaRefs>
</ds:datastoreItem>
</file>

<file path=customXml/itemProps4.xml><?xml version="1.0" encoding="utf-8"?>
<ds:datastoreItem xmlns:ds="http://schemas.openxmlformats.org/officeDocument/2006/customXml" ds:itemID="{FDA046B8-99F2-416C-9B07-EDA56B7D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Georgia Tawharu</cp:lastModifiedBy>
  <cp:revision>28</cp:revision>
  <cp:lastPrinted>2011-11-24T03:23:00Z</cp:lastPrinted>
  <dcterms:created xsi:type="dcterms:W3CDTF">2025-05-14T00:02:00Z</dcterms:created>
  <dcterms:modified xsi:type="dcterms:W3CDTF">2025-05-28T23:33:00Z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